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Conine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60,389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upon settlement of restricted stock units ("RSUs") granted to the Reporting Person. Each RSU represents a contingent right to receive one share of the Issuer's Class A common stock. Subject to the Reporting Person's continuous service as a director of the Issuer, 100% of the RSUs will vest on the first anniversary of the grant date. Such vesting may be accelerated in connection with a Change in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052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3458</Characters>
  <CharactersWithSpaces>4039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