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25" w:lineRule="exact"/>
        <w:rPr>
          <w:sz w:val="24"/>
          <w:szCs w:val="24"/>
          <w:color w:val="auto"/>
        </w:rPr>
      </w:pPr>
    </w:p>
    <w:p>
      <w:pPr>
        <w:jc w:val="center"/>
        <w:ind w:right="-2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128905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7" w:lineRule="exact"/>
        <w:rPr>
          <w:sz w:val="24"/>
          <w:szCs w:val="24"/>
          <w:color w:val="auto"/>
        </w:rPr>
      </w:pPr>
    </w:p>
    <w:p>
      <w:pPr>
        <w:jc w:val="center"/>
        <w:ind w:right="-239"/>
        <w:spacing w:after="0"/>
        <w:rPr>
          <w:sz w:val="20"/>
          <w:szCs w:val="20"/>
          <w:color w:val="auto"/>
        </w:rPr>
      </w:pPr>
      <w:r>
        <w:rPr>
          <w:rFonts w:ascii="Arial" w:cs="Arial" w:eastAsia="Arial" w:hAnsi="Arial"/>
          <w:sz w:val="31"/>
          <w:szCs w:val="31"/>
          <w:b w:val="1"/>
          <w:bCs w:val="1"/>
          <w:color w:val="auto"/>
        </w:rPr>
        <w:t>SCHEDULE 14A</w:t>
      </w:r>
    </w:p>
    <w:p>
      <w:pPr>
        <w:spacing w:after="0" w:line="30" w:lineRule="exact"/>
        <w:rPr>
          <w:sz w:val="24"/>
          <w:szCs w:val="24"/>
          <w:color w:val="auto"/>
        </w:rPr>
      </w:pPr>
    </w:p>
    <w:p>
      <w:pPr>
        <w:ind w:left="4820"/>
        <w:spacing w:after="0"/>
        <w:rPr>
          <w:sz w:val="20"/>
          <w:szCs w:val="20"/>
          <w:color w:val="auto"/>
        </w:rPr>
      </w:pPr>
      <w:r>
        <w:rPr>
          <w:rFonts w:ascii="Arial" w:cs="Arial" w:eastAsia="Arial" w:hAnsi="Arial"/>
          <w:sz w:val="20"/>
          <w:szCs w:val="20"/>
          <w:b w:val="1"/>
          <w:bCs w:val="1"/>
          <w:color w:val="auto"/>
        </w:rPr>
        <w:t>(RULE 14a-101)</w:t>
      </w:r>
    </w:p>
    <w:p>
      <w:pPr>
        <w:spacing w:after="0" w:line="86" w:lineRule="exact"/>
        <w:rPr>
          <w:sz w:val="24"/>
          <w:szCs w:val="24"/>
          <w:color w:val="auto"/>
        </w:rPr>
      </w:pPr>
    </w:p>
    <w:p>
      <w:pPr>
        <w:ind w:left="3080"/>
        <w:spacing w:after="0"/>
        <w:rPr>
          <w:sz w:val="20"/>
          <w:szCs w:val="20"/>
          <w:color w:val="auto"/>
        </w:rPr>
      </w:pPr>
      <w:r>
        <w:rPr>
          <w:rFonts w:ascii="Arial" w:cs="Arial" w:eastAsia="Arial" w:hAnsi="Arial"/>
          <w:sz w:val="20"/>
          <w:szCs w:val="20"/>
          <w:b w:val="1"/>
          <w:bCs w:val="1"/>
          <w:color w:val="auto"/>
        </w:rPr>
        <w:t>INFORMATION REQUIRED IN PROXY STATEMENT</w:t>
      </w:r>
    </w:p>
    <w:p>
      <w:pPr>
        <w:spacing w:after="0" w:line="22" w:lineRule="exact"/>
        <w:rPr>
          <w:sz w:val="24"/>
          <w:szCs w:val="24"/>
          <w:color w:val="auto"/>
        </w:rPr>
      </w:pPr>
    </w:p>
    <w:p>
      <w:pPr>
        <w:ind w:left="4020"/>
        <w:spacing w:after="0"/>
        <w:rPr>
          <w:sz w:val="20"/>
          <w:szCs w:val="20"/>
          <w:color w:val="auto"/>
        </w:rPr>
      </w:pPr>
      <w:r>
        <w:rPr>
          <w:rFonts w:ascii="Arial" w:cs="Arial" w:eastAsia="Arial" w:hAnsi="Arial"/>
          <w:sz w:val="20"/>
          <w:szCs w:val="20"/>
          <w:b w:val="1"/>
          <w:bCs w:val="1"/>
          <w:color w:val="auto"/>
        </w:rPr>
        <w:t>SCHEDULE 14A INFORMATION</w:t>
      </w:r>
    </w:p>
    <w:p>
      <w:pPr>
        <w:spacing w:after="0" w:line="86" w:lineRule="exact"/>
        <w:rPr>
          <w:sz w:val="24"/>
          <w:szCs w:val="24"/>
          <w:color w:val="auto"/>
        </w:rPr>
      </w:pPr>
    </w:p>
    <w:p>
      <w:pPr>
        <w:ind w:left="3460"/>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239"/>
        <w:spacing w:after="0"/>
        <w:rPr>
          <w:sz w:val="20"/>
          <w:szCs w:val="20"/>
          <w:color w:val="auto"/>
        </w:rPr>
      </w:pPr>
      <w:r>
        <w:rPr>
          <w:rFonts w:ascii="Arial" w:cs="Arial" w:eastAsia="Arial" w:hAnsi="Arial"/>
          <w:sz w:val="20"/>
          <w:szCs w:val="20"/>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120650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4" w:lineRule="exact"/>
        <w:rPr>
          <w:sz w:val="24"/>
          <w:szCs w:val="24"/>
          <w:color w:val="auto"/>
        </w:rPr>
      </w:pPr>
    </w:p>
    <w:p>
      <w:pPr>
        <w:spacing w:after="0" w:line="184" w:lineRule="exact"/>
        <w:tabs>
          <w:tab w:leader="none" w:pos="282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Filed by a Party other than the Registrant </w:t>
      </w:r>
      <w:r>
        <w:rPr>
          <w:rFonts w:ascii="MS PGothic" w:cs="MS PGothic" w:eastAsia="MS PGothic" w:hAnsi="MS PGothic"/>
          <w:sz w:val="14"/>
          <w:szCs w:val="14"/>
          <w:color w:val="auto"/>
        </w:rPr>
        <w:t>☐</w:t>
      </w:r>
    </w:p>
    <w:p>
      <w:pPr>
        <w:spacing w:after="0" w:line="157"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140" w:lineRule="exact"/>
        <w:rPr>
          <w:sz w:val="24"/>
          <w:szCs w:val="24"/>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22" w:lineRule="exact"/>
        <w:rPr>
          <w:rFonts w:ascii="MS PGothic" w:cs="MS PGothic" w:eastAsia="MS PGothic" w:hAnsi="MS PGothic"/>
          <w:sz w:val="16"/>
          <w:szCs w:val="16"/>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Confidential, for Use of the Commission Only (as permitted by Rule 14a-6(e)(2))</w:t>
      </w:r>
    </w:p>
    <w:p>
      <w:pPr>
        <w:spacing w:after="0" w:line="130" w:lineRule="exact"/>
        <w:rPr>
          <w:rFonts w:ascii="MS PGothic" w:cs="MS PGothic" w:eastAsia="MS PGothic" w:hAnsi="MS PGothic"/>
          <w:sz w:val="16"/>
          <w:szCs w:val="16"/>
          <w:color w:val="auto"/>
        </w:rPr>
      </w:pPr>
    </w:p>
    <w:p>
      <w:pPr>
        <w:ind w:left="560" w:hanging="556"/>
        <w:spacing w:after="0"/>
        <w:tabs>
          <w:tab w:leader="none" w:pos="5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27" w:lineRule="exact"/>
        <w:rPr>
          <w:sz w:val="24"/>
          <w:szCs w:val="24"/>
          <w:color w:val="auto"/>
        </w:rPr>
      </w:pPr>
    </w:p>
    <w:p>
      <w:pPr>
        <w:ind w:left="560" w:hanging="556"/>
        <w:spacing w:after="0"/>
        <w:tabs>
          <w:tab w:leader="none" w:pos="56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27" w:lineRule="exact"/>
        <w:rPr>
          <w:sz w:val="24"/>
          <w:szCs w:val="24"/>
          <w:color w:val="auto"/>
        </w:rPr>
      </w:pPr>
    </w:p>
    <w:p>
      <w:pPr>
        <w:ind w:left="560" w:hanging="556"/>
        <w:spacing w:after="0"/>
        <w:tabs>
          <w:tab w:leader="none" w:pos="5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under § 240.14a-12</w:t>
      </w:r>
    </w:p>
    <w:p>
      <w:pPr>
        <w:spacing w:after="0" w:line="93" w:lineRule="exact"/>
        <w:rPr>
          <w:sz w:val="24"/>
          <w:szCs w:val="24"/>
          <w:color w:val="auto"/>
        </w:rPr>
      </w:pPr>
    </w:p>
    <w:p>
      <w:pPr>
        <w:jc w:val="center"/>
        <w:ind w:right="-239"/>
        <w:spacing w:after="0"/>
        <w:rPr>
          <w:sz w:val="20"/>
          <w:szCs w:val="20"/>
          <w:color w:val="auto"/>
        </w:rPr>
      </w:pPr>
      <w:r>
        <w:rPr>
          <w:rFonts w:ascii="Arial" w:cs="Arial" w:eastAsia="Arial" w:hAnsi="Arial"/>
          <w:sz w:val="38"/>
          <w:szCs w:val="38"/>
          <w:b w:val="1"/>
          <w:bCs w:val="1"/>
          <w:color w:val="auto"/>
        </w:rPr>
        <w:t>CARGURUS, INC.</w:t>
      </w:r>
    </w:p>
    <w:p>
      <w:pPr>
        <w:spacing w:after="0" w:line="43" w:lineRule="exact"/>
        <w:rPr>
          <w:sz w:val="24"/>
          <w:szCs w:val="24"/>
          <w:color w:val="auto"/>
        </w:rPr>
      </w:pPr>
    </w:p>
    <w:p>
      <w:pPr>
        <w:jc w:val="center"/>
        <w:ind w:right="-239"/>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59" w:lineRule="exact"/>
        <w:rPr>
          <w:sz w:val="24"/>
          <w:szCs w:val="24"/>
          <w:color w:val="auto"/>
        </w:rPr>
      </w:pPr>
    </w:p>
    <w:p>
      <w:pPr>
        <w:ind w:left="33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08"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pacing w:after="0" w:line="127" w:lineRule="exact"/>
        <w:rPr>
          <w:sz w:val="24"/>
          <w:szCs w:val="24"/>
          <w:color w:val="auto"/>
        </w:rPr>
      </w:pPr>
    </w:p>
    <w:p>
      <w:pPr>
        <w:ind w:left="580" w:hanging="576"/>
        <w:spacing w:after="0"/>
        <w:tabs>
          <w:tab w:leader="none" w:pos="5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580" w:hanging="576"/>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below per Exchange Act Rules 14a-6(i)(1) and 0-11.</w:t>
      </w:r>
    </w:p>
    <w:p>
      <w:pPr>
        <w:spacing w:after="0" w:line="126" w:lineRule="exact"/>
        <w:rPr>
          <w:rFonts w:ascii="MS PGothic" w:cs="MS PGothic" w:eastAsia="MS PGothic" w:hAnsi="MS PGothic"/>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69" w:lineRule="exact"/>
        <w:rPr>
          <w:rFonts w:ascii="Arial" w:cs="Arial" w:eastAsia="Arial" w:hAnsi="Arial"/>
          <w:sz w:val="16"/>
          <w:szCs w:val="16"/>
          <w:color w:val="auto"/>
        </w:rPr>
      </w:pPr>
    </w:p>
    <w:p>
      <w:pPr>
        <w:ind w:left="1120" w:right="80" w:hanging="549"/>
        <w:spacing w:after="0" w:line="293" w:lineRule="auto"/>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266"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345" w:lineRule="exact"/>
        <w:rPr>
          <w:rFonts w:ascii="Arial" w:cs="Arial" w:eastAsia="Arial" w:hAnsi="Arial"/>
          <w:sz w:val="16"/>
          <w:szCs w:val="16"/>
          <w:color w:val="auto"/>
        </w:rPr>
      </w:pPr>
    </w:p>
    <w:p>
      <w:pPr>
        <w:ind w:left="580" w:hanging="576"/>
        <w:spacing w:after="0"/>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234" w:lineRule="exact"/>
        <w:rPr>
          <w:rFonts w:ascii="MS PGothic" w:cs="MS PGothic" w:eastAsia="MS PGothic" w:hAnsi="MS PGothic"/>
          <w:sz w:val="16"/>
          <w:szCs w:val="16"/>
          <w:color w:val="auto"/>
        </w:rPr>
      </w:pPr>
    </w:p>
    <w:p>
      <w:pPr>
        <w:ind w:left="580" w:hanging="576"/>
        <w:spacing w:after="0" w:line="293" w:lineRule="auto"/>
        <w:tabs>
          <w:tab w:leader="none" w:pos="5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2" w:lineRule="exact"/>
        <w:rPr>
          <w:rFonts w:ascii="MS PGothic" w:cs="MS PGothic" w:eastAsia="MS PGothic" w:hAnsi="MS PGothic"/>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329" w:lineRule="exact"/>
        <w:rPr>
          <w:rFonts w:ascii="Arial" w:cs="Arial" w:eastAsia="Arial" w:hAnsi="Arial"/>
          <w:sz w:val="16"/>
          <w:szCs w:val="16"/>
          <w:color w:val="auto"/>
        </w:rPr>
      </w:pPr>
    </w:p>
    <w:p>
      <w:pPr>
        <w:ind w:left="1120" w:hanging="549"/>
        <w:spacing w:after="0"/>
        <w:tabs>
          <w:tab w:leader="none" w:pos="1120" w:val="left"/>
        </w:tabs>
        <w:numPr>
          <w:ilvl w:val="1"/>
          <w:numId w:val="5"/>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709930</wp:posOffset>
            </wp:positionH>
            <wp:positionV relativeFrom="paragraph">
              <wp:posOffset>-3360420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-3008630</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-2553970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-2228215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-1902460</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-779145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-452755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-127000</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709930</wp:posOffset>
            </wp:positionH>
            <wp:positionV relativeFrom="paragraph">
              <wp:posOffset>198120</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275590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318135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800"/>
          </w:cols>
          <w:pgMar w:left="440" w:top="373" w:right="659" w:bottom="1440" w:gutter="0" w:footer="0" w:header="0"/>
        </w:sectPr>
      </w:pPr>
    </w:p>
    <w:bookmarkStart w:id="1" w:name="page2"/>
    <w:bookmarkEnd w:id="1"/>
    <w:p>
      <w:pPr>
        <w:jc w:val="center"/>
        <w:ind w:right="5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Stockholder Meeting to Be Held on May 07,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6504305</wp:posOffset>
            </wp:positionH>
            <wp:positionV relativeFrom="paragraph">
              <wp:posOffset>140335</wp:posOffset>
            </wp:positionV>
            <wp:extent cx="8890" cy="18351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835150"/>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426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2020" w:type="dxa"/>
            <w:vAlign w:val="bottom"/>
            <w:tcBorders>
              <w:top w:val="single" w:sz="8" w:color="auto"/>
            </w:tcBorders>
          </w:tcPr>
          <w:p>
            <w:pPr>
              <w:spacing w:after="0"/>
              <w:rPr>
                <w:sz w:val="8"/>
                <w:szCs w:val="8"/>
                <w:color w:val="auto"/>
              </w:rPr>
            </w:pPr>
          </w:p>
        </w:tc>
        <w:tc>
          <w:tcPr>
            <w:tcW w:w="1620" w:type="dxa"/>
            <w:vAlign w:val="bottom"/>
            <w:tcBorders>
              <w:top w:val="single" w:sz="8" w:color="auto"/>
            </w:tcBorders>
            <w:vMerge w:val="restart"/>
          </w:tcPr>
          <w:p>
            <w:pPr>
              <w:spacing w:after="0"/>
              <w:rPr>
                <w:sz w:val="20"/>
                <w:szCs w:val="20"/>
                <w:color w:val="auto"/>
              </w:rPr>
            </w:pPr>
            <w:r>
              <w:rPr>
                <w:rFonts w:ascii="Arial" w:cs="Arial" w:eastAsia="Arial" w:hAnsi="Arial"/>
                <w:sz w:val="18"/>
                <w:szCs w:val="18"/>
                <w:b w:val="1"/>
                <w:bCs w:val="1"/>
                <w:color w:val="auto"/>
                <w:w w:val="92"/>
              </w:rPr>
              <w:t>Meeting Information</w:t>
            </w:r>
          </w:p>
        </w:tc>
        <w:tc>
          <w:tcPr>
            <w:tcW w:w="1940" w:type="dxa"/>
            <w:vAlign w:val="bottom"/>
            <w:tcBorders>
              <w:top w:val="single" w:sz="8" w:color="auto"/>
            </w:tcBorders>
            <w:vMerge w:val="restart"/>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260" w:type="dxa"/>
            <w:vAlign w:val="bottom"/>
          </w:tcPr>
          <w:p>
            <w:pPr>
              <w:spacing w:after="0"/>
              <w:rPr>
                <w:sz w:val="15"/>
                <w:szCs w:val="15"/>
                <w:color w:val="auto"/>
              </w:rPr>
            </w:pPr>
          </w:p>
        </w:tc>
        <w:tc>
          <w:tcPr>
            <w:tcW w:w="180" w:type="dxa"/>
            <w:vAlign w:val="bottom"/>
            <w:tcBorders>
              <w:bottom w:val="single" w:sz="8" w:color="7F7F7F"/>
              <w:right w:val="single" w:sz="8" w:color="auto"/>
            </w:tcBorders>
            <w:shd w:val="clear" w:color="auto" w:fill="7F7F7F"/>
          </w:tcPr>
          <w:p>
            <w:pPr>
              <w:spacing w:after="0"/>
              <w:rPr>
                <w:sz w:val="15"/>
                <w:szCs w:val="15"/>
                <w:color w:val="auto"/>
              </w:rPr>
            </w:pPr>
          </w:p>
        </w:tc>
        <w:tc>
          <w:tcPr>
            <w:tcW w:w="202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3"/>
        </w:trPr>
        <w:tc>
          <w:tcPr>
            <w:tcW w:w="4260" w:type="dxa"/>
            <w:vAlign w:val="bottom"/>
          </w:tcPr>
          <w:p>
            <w:pPr>
              <w:spacing w:after="0"/>
              <w:rPr>
                <w:sz w:val="20"/>
                <w:szCs w:val="20"/>
                <w:color w:val="auto"/>
              </w:rPr>
            </w:pPr>
            <w:r>
              <w:rPr>
                <w:rFonts w:ascii="Arial" w:cs="Arial" w:eastAsia="Arial" w:hAnsi="Arial"/>
                <w:sz w:val="18"/>
                <w:szCs w:val="18"/>
                <w:b w:val="1"/>
                <w:bCs w:val="1"/>
                <w:i w:val="1"/>
                <w:iCs w:val="1"/>
                <w:color w:val="auto"/>
              </w:rPr>
              <w:t>CARGURUS, INC.</w:t>
            </w:r>
          </w:p>
        </w:tc>
        <w:tc>
          <w:tcPr>
            <w:tcW w:w="180" w:type="dxa"/>
            <w:vAlign w:val="bottom"/>
            <w:tcBorders>
              <w:right w:val="single" w:sz="8" w:color="auto"/>
            </w:tcBorders>
            <w:shd w:val="clear" w:color="auto" w:fill="7F7F7F"/>
          </w:tcPr>
          <w:p>
            <w:pPr>
              <w:spacing w:after="0"/>
              <w:rPr>
                <w:sz w:val="24"/>
                <w:szCs w:val="24"/>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80" w:type="dxa"/>
            <w:vAlign w:val="bottom"/>
            <w:tcBorders>
              <w:right w:val="single" w:sz="8" w:color="auto"/>
            </w:tcBorders>
            <w:shd w:val="clear" w:color="auto" w:fill="7F7F7F"/>
          </w:tcPr>
          <w:p>
            <w:pPr>
              <w:spacing w:after="0"/>
              <w:rPr>
                <w:sz w:val="18"/>
                <w:szCs w:val="18"/>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March 13, 2019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80" w:type="dxa"/>
            <w:vAlign w:val="bottom"/>
            <w:tcBorders>
              <w:right w:val="single" w:sz="8" w:color="auto"/>
            </w:tcBorders>
            <w:shd w:val="clear" w:color="auto" w:fill="7F7F7F"/>
          </w:tcPr>
          <w:p>
            <w:pPr>
              <w:spacing w:after="0"/>
              <w:rPr>
                <w:sz w:val="18"/>
                <w:szCs w:val="18"/>
                <w:color w:val="auto"/>
              </w:rPr>
            </w:pPr>
          </w:p>
        </w:tc>
        <w:tc>
          <w:tcPr>
            <w:tcW w:w="2020" w:type="dxa"/>
            <w:vAlign w:val="bottom"/>
          </w:tcPr>
          <w:p>
            <w:pPr>
              <w:ind w:left="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07, 2019</w:t>
            </w:r>
          </w:p>
        </w:tc>
        <w:tc>
          <w:tcPr>
            <w:tcW w:w="3560" w:type="dxa"/>
            <w:vAlign w:val="bottom"/>
            <w:gridSpan w:val="2"/>
          </w:tcPr>
          <w:p>
            <w:pPr>
              <w:ind w:left="2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11:30 AM EDT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260" w:type="dxa"/>
            <w:vAlign w:val="bottom"/>
          </w:tcPr>
          <w:p>
            <w:pPr>
              <w:spacing w:after="0"/>
              <w:rPr>
                <w:sz w:val="19"/>
                <w:szCs w:val="19"/>
                <w:color w:val="auto"/>
              </w:rPr>
            </w:pPr>
          </w:p>
        </w:tc>
        <w:tc>
          <w:tcPr>
            <w:tcW w:w="180" w:type="dxa"/>
            <w:vAlign w:val="bottom"/>
            <w:tcBorders>
              <w:right w:val="single" w:sz="8" w:color="auto"/>
            </w:tcBorders>
            <w:shd w:val="clear" w:color="auto" w:fill="7F7F7F"/>
          </w:tcPr>
          <w:p>
            <w:pPr>
              <w:spacing w:after="0"/>
              <w:rPr>
                <w:sz w:val="19"/>
                <w:szCs w:val="19"/>
                <w:color w:val="auto"/>
              </w:rPr>
            </w:pPr>
          </w:p>
        </w:tc>
        <w:tc>
          <w:tcPr>
            <w:tcW w:w="5580" w:type="dxa"/>
            <w:vAlign w:val="bottom"/>
            <w:gridSpan w:val="3"/>
          </w:tcPr>
          <w:p>
            <w:pPr>
              <w:ind w:left="8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Offices of Morgan, Lewis &amp; Bockius LLP</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80" w:type="dxa"/>
            <w:vAlign w:val="bottom"/>
            <w:tcBorders>
              <w:right w:val="single" w:sz="8" w:color="auto"/>
            </w:tcBorders>
            <w:shd w:val="clear" w:color="auto" w:fill="7F7F7F"/>
          </w:tcPr>
          <w:p>
            <w:pPr>
              <w:spacing w:after="0"/>
              <w:rPr>
                <w:sz w:val="18"/>
                <w:szCs w:val="18"/>
                <w:color w:val="auto"/>
              </w:rPr>
            </w:pPr>
          </w:p>
        </w:tc>
        <w:tc>
          <w:tcPr>
            <w:tcW w:w="5580" w:type="dxa"/>
            <w:vAlign w:val="bottom"/>
            <w:gridSpan w:val="3"/>
          </w:tcPr>
          <w:p>
            <w:pPr>
              <w:ind w:left="980"/>
              <w:spacing w:after="0"/>
              <w:rPr>
                <w:sz w:val="20"/>
                <w:szCs w:val="20"/>
                <w:color w:val="auto"/>
              </w:rPr>
            </w:pPr>
            <w:r>
              <w:rPr>
                <w:rFonts w:ascii="Arial" w:cs="Arial" w:eastAsia="Arial" w:hAnsi="Arial"/>
                <w:sz w:val="18"/>
                <w:szCs w:val="18"/>
                <w:color w:val="auto"/>
              </w:rPr>
              <w:t>One Federal St.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p>
        </w:tc>
        <w:tc>
          <w:tcPr>
            <w:tcW w:w="180" w:type="dxa"/>
            <w:vAlign w:val="bottom"/>
            <w:tcBorders>
              <w:right w:val="single" w:sz="8" w:color="auto"/>
            </w:tcBorders>
            <w:shd w:val="clear" w:color="auto" w:fill="7F7F7F"/>
          </w:tcPr>
          <w:p>
            <w:pPr>
              <w:spacing w:after="0"/>
              <w:rPr>
                <w:sz w:val="20"/>
                <w:szCs w:val="20"/>
                <w:color w:val="auto"/>
              </w:rPr>
            </w:pPr>
          </w:p>
        </w:tc>
        <w:tc>
          <w:tcPr>
            <w:tcW w:w="5580" w:type="dxa"/>
            <w:vAlign w:val="bottom"/>
            <w:gridSpan w:val="3"/>
          </w:tcPr>
          <w:p>
            <w:pPr>
              <w:ind w:left="980"/>
              <w:spacing w:after="0"/>
              <w:rPr>
                <w:sz w:val="20"/>
                <w:szCs w:val="20"/>
                <w:color w:val="auto"/>
              </w:rPr>
            </w:pPr>
            <w:r>
              <w:rPr>
                <w:rFonts w:ascii="Arial" w:cs="Arial" w:eastAsia="Arial" w:hAnsi="Arial"/>
                <w:sz w:val="18"/>
                <w:szCs w:val="18"/>
                <w:color w:val="auto"/>
              </w:rPr>
              <w:t>Boston, MA 02110</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260" w:type="dxa"/>
            <w:vAlign w:val="bottom"/>
          </w:tcPr>
          <w:p>
            <w:pPr>
              <w:spacing w:after="0"/>
              <w:rPr>
                <w:sz w:val="24"/>
                <w:szCs w:val="24"/>
                <w:color w:val="auto"/>
              </w:rPr>
            </w:pPr>
          </w:p>
        </w:tc>
        <w:tc>
          <w:tcPr>
            <w:tcW w:w="180" w:type="dxa"/>
            <w:vAlign w:val="bottom"/>
            <w:tcBorders>
              <w:bottom w:val="single" w:sz="8" w:color="7F7F7F"/>
              <w:right w:val="single" w:sz="8" w:color="auto"/>
            </w:tcBorders>
            <w:shd w:val="clear" w:color="auto" w:fill="7F7F7F"/>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260" w:type="dxa"/>
            <w:vAlign w:val="bottom"/>
          </w:tcPr>
          <w:p>
            <w:pPr>
              <w:spacing w:after="0"/>
              <w:rPr>
                <w:sz w:val="5"/>
                <w:szCs w:val="5"/>
                <w:color w:val="auto"/>
              </w:rPr>
            </w:pPr>
          </w:p>
        </w:tc>
        <w:tc>
          <w:tcPr>
            <w:tcW w:w="180" w:type="dxa"/>
            <w:vAlign w:val="bottom"/>
            <w:tcBorders>
              <w:right w:val="single" w:sz="8" w:color="7F7F7F"/>
            </w:tcBorders>
            <w:shd w:val="clear" w:color="auto" w:fill="7F7F7F"/>
          </w:tcPr>
          <w:p>
            <w:pPr>
              <w:spacing w:after="0"/>
              <w:rPr>
                <w:sz w:val="5"/>
                <w:szCs w:val="5"/>
                <w:color w:val="auto"/>
              </w:rPr>
            </w:pPr>
          </w:p>
        </w:tc>
        <w:tc>
          <w:tcPr>
            <w:tcW w:w="2020" w:type="dxa"/>
            <w:vAlign w:val="bottom"/>
            <w:shd w:val="clear" w:color="auto" w:fill="7F7F7F"/>
          </w:tcPr>
          <w:p>
            <w:pPr>
              <w:spacing w:after="0"/>
              <w:rPr>
                <w:sz w:val="5"/>
                <w:szCs w:val="5"/>
                <w:color w:val="auto"/>
              </w:rPr>
            </w:pPr>
          </w:p>
        </w:tc>
        <w:tc>
          <w:tcPr>
            <w:tcW w:w="1620" w:type="dxa"/>
            <w:vAlign w:val="bottom"/>
            <w:shd w:val="clear" w:color="auto" w:fill="7F7F7F"/>
          </w:tcPr>
          <w:p>
            <w:pPr>
              <w:spacing w:after="0"/>
              <w:rPr>
                <w:sz w:val="5"/>
                <w:szCs w:val="5"/>
                <w:color w:val="auto"/>
              </w:rPr>
            </w:pPr>
          </w:p>
        </w:tc>
        <w:tc>
          <w:tcPr>
            <w:tcW w:w="1940" w:type="dxa"/>
            <w:vAlign w:val="bottom"/>
            <w:shd w:val="clear" w:color="auto" w:fill="7F7F7F"/>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60"/>
          </w:cols>
          <w:pgMar w:left="1120" w:top="270" w:right="51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CARGURUS,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 BROADRIDGE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 BOX 1342</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BRENTWOOD,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311785</wp:posOffset>
            </wp:positionV>
            <wp:extent cx="85725" cy="8921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92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21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9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142875</wp:posOffset>
            </wp:positionV>
            <wp:extent cx="3799205" cy="4032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99205" cy="403225"/>
                    </a:xfrm>
                    <a:prstGeom prst="rect">
                      <a:avLst/>
                    </a:prstGeom>
                    <a:noFill/>
                  </pic:spPr>
                </pic:pic>
              </a:graphicData>
            </a:graphic>
          </wp:anchor>
        </w:drawing>
      </w:r>
    </w:p>
    <w:p>
      <w:pPr>
        <w:spacing w:after="0" w:line="227" w:lineRule="exact"/>
        <w:rPr>
          <w:sz w:val="20"/>
          <w:szCs w:val="20"/>
          <w:color w:val="auto"/>
        </w:rPr>
      </w:pPr>
    </w:p>
    <w:p>
      <w:pPr>
        <w:ind w:left="40" w:right="50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ectPr>
          <w:pgSz w:w="11900" w:h="16838" w:orient="portrait"/>
          <w:cols w:equalWidth="0" w:num="2">
            <w:col w:w="3640" w:space="720"/>
            <w:col w:w="5900"/>
          </w:cols>
          <w:pgMar w:left="1120" w:top="270" w:right="519" w:bottom="1440" w:gutter="0" w:footer="0" w:header="0"/>
          <w:type w:val="continuous"/>
        </w:sectPr>
      </w:pPr>
    </w:p>
    <w:bookmarkStart w:id="2" w:name="page3"/>
    <w:bookmarkEnd w:id="2"/>
    <w:p>
      <w:pPr>
        <w:jc w:val="center"/>
        <w:ind w:right="197"/>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197"/>
        <w:spacing w:after="0"/>
        <w:rPr>
          <w:sz w:val="20"/>
          <w:szCs w:val="20"/>
          <w:color w:val="auto"/>
        </w:rPr>
      </w:pPr>
      <w:r>
        <w:rPr>
          <w:rFonts w:ascii="Arial" w:cs="Arial" w:eastAsia="Arial" w:hAnsi="Arial"/>
          <w:sz w:val="18"/>
          <w:szCs w:val="18"/>
          <w:color w:val="auto"/>
        </w:rPr>
        <w:t>How to Access the Proxy Materials</w:t>
      </w:r>
    </w:p>
    <w:p>
      <w:pPr>
        <w:spacing w:after="0" w:line="12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-127635</wp:posOffset>
            </wp:positionV>
            <wp:extent cx="6877685" cy="2658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77685" cy="2658745"/>
                    </a:xfrm>
                    <a:prstGeom prst="rect">
                      <a:avLst/>
                    </a:prstGeom>
                    <a:noFill/>
                  </pic:spPr>
                </pic:pic>
              </a:graphicData>
            </a:graphic>
          </wp:anchor>
        </w:drawing>
      </w:r>
    </w:p>
    <w:p>
      <w:pPr>
        <w:spacing w:after="0" w:line="115" w:lineRule="exact"/>
        <w:rPr>
          <w:sz w:val="20"/>
          <w:szCs w:val="20"/>
          <w:color w:val="auto"/>
        </w:rPr>
      </w:pPr>
    </w:p>
    <w:p>
      <w:pPr>
        <w:ind w:left="3"/>
        <w:spacing w:after="0"/>
        <w:tabs>
          <w:tab w:leader="none" w:pos="1583" w:val="left"/>
        </w:tabs>
        <w:rPr>
          <w:sz w:val="20"/>
          <w:szCs w:val="20"/>
          <w:color w:val="auto"/>
        </w:rPr>
      </w:pPr>
      <w:r>
        <w:rPr>
          <w:rFonts w:ascii="Arial" w:cs="Arial" w:eastAsia="Arial" w:hAnsi="Arial"/>
          <w:sz w:val="18"/>
          <w:szCs w:val="18"/>
          <w:color w:val="auto"/>
        </w:rPr>
        <w:t>1. Annual Report</w:t>
      </w:r>
      <w:r>
        <w:rPr>
          <w:sz w:val="20"/>
          <w:szCs w:val="20"/>
          <w:color w:val="auto"/>
        </w:rPr>
        <w:tab/>
      </w:r>
      <w:r>
        <w:rPr>
          <w:rFonts w:ascii="Arial" w:cs="Arial" w:eastAsia="Arial" w:hAnsi="Arial"/>
          <w:sz w:val="16"/>
          <w:szCs w:val="16"/>
          <w:color w:val="auto"/>
        </w:rPr>
        <w:t>2. Notice &amp; Proxy Statement</w:t>
      </w:r>
    </w:p>
    <w:p>
      <w:pPr>
        <w:spacing w:after="0" w:line="100"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How to View Online:</w:t>
      </w:r>
    </w:p>
    <w:p>
      <w:pPr>
        <w:spacing w:after="0" w:line="41" w:lineRule="exact"/>
        <w:rPr>
          <w:sz w:val="20"/>
          <w:szCs w:val="20"/>
          <w:color w:val="auto"/>
        </w:rPr>
      </w:pPr>
    </w:p>
    <w:p>
      <w:pPr>
        <w:ind w:left="3"/>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183640"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83640" cy="128905"/>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18" w:lineRule="exact"/>
        <w:rPr>
          <w:sz w:val="20"/>
          <w:szCs w:val="20"/>
          <w:color w:val="auto"/>
        </w:rPr>
      </w:pPr>
    </w:p>
    <w:p>
      <w:pPr>
        <w:ind w:left="3"/>
        <w:spacing w:after="0"/>
        <w:rPr>
          <w:sz w:val="20"/>
          <w:szCs w:val="20"/>
          <w:color w:val="auto"/>
        </w:rPr>
      </w:pPr>
      <w:r>
        <w:rPr>
          <w:rFonts w:ascii="Arial" w:cs="Arial" w:eastAsia="Arial" w:hAnsi="Arial"/>
          <w:sz w:val="18"/>
          <w:szCs w:val="18"/>
          <w:i w:val="1"/>
          <w:iCs w:val="1"/>
          <w:color w:val="auto"/>
        </w:rPr>
        <w:t>www.proxyvote.com.</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7" w:lineRule="exact"/>
        <w:rPr>
          <w:sz w:val="20"/>
          <w:szCs w:val="20"/>
          <w:color w:val="auto"/>
        </w:rPr>
      </w:pPr>
    </w:p>
    <w:p>
      <w:pPr>
        <w:ind w:left="3" w:right="380"/>
        <w:spacing w:after="0" w:line="25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903" w:type="dxa"/>
        <w:tblCellMar>
          <w:top w:w="0" w:type="dxa"/>
          <w:left w:w="0" w:type="dxa"/>
          <w:bottom w:w="0" w:type="dxa"/>
          <w:right w:w="0" w:type="dxa"/>
        </w:tblCellMar>
      </w:tblPr>
      <w:tr>
        <w:trPr>
          <w:trHeight w:val="202"/>
        </w:trPr>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4"/>
              </w:rPr>
              <w:t>1)</w:t>
            </w:r>
          </w:p>
        </w:tc>
        <w:tc>
          <w:tcPr>
            <w:tcW w:w="1840" w:type="dxa"/>
            <w:vAlign w:val="bottom"/>
          </w:tcPr>
          <w:p>
            <w:pPr>
              <w:ind w:left="40"/>
              <w:spacing w:after="0" w:line="202" w:lineRule="exact"/>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680" w:type="dxa"/>
            <w:vAlign w:val="bottom"/>
          </w:tcPr>
          <w:p>
            <w:pPr>
              <w:ind w:left="500"/>
              <w:spacing w:after="0" w:line="202" w:lineRule="exact"/>
              <w:rPr>
                <w:sz w:val="20"/>
                <w:szCs w:val="20"/>
                <w:color w:val="auto"/>
              </w:rPr>
            </w:pPr>
            <w:r>
              <w:rPr>
                <w:rFonts w:ascii="Arial" w:cs="Arial" w:eastAsia="Arial" w:hAnsi="Arial"/>
                <w:sz w:val="18"/>
                <w:szCs w:val="18"/>
                <w:color w:val="auto"/>
              </w:rPr>
              <w:t>www.proxyvote.com</w:t>
            </w:r>
          </w:p>
        </w:tc>
      </w:tr>
      <w:tr>
        <w:trPr>
          <w:trHeight w:val="216"/>
        </w:trPr>
        <w:tc>
          <w:tcPr>
            <w:tcW w:w="16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1840" w:type="dxa"/>
            <w:vAlign w:val="bottom"/>
          </w:tcPr>
          <w:p>
            <w:pPr>
              <w:ind w:left="40"/>
              <w:spacing w:after="0"/>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680" w:type="dxa"/>
            <w:vAlign w:val="bottom"/>
          </w:tcPr>
          <w:p>
            <w:pPr>
              <w:ind w:left="500"/>
              <w:spacing w:after="0"/>
              <w:rPr>
                <w:sz w:val="20"/>
                <w:szCs w:val="20"/>
                <w:color w:val="auto"/>
              </w:rPr>
            </w:pPr>
            <w:r>
              <w:rPr>
                <w:rFonts w:ascii="Arial" w:cs="Arial" w:eastAsia="Arial" w:hAnsi="Arial"/>
                <w:sz w:val="18"/>
                <w:szCs w:val="18"/>
                <w:color w:val="auto"/>
              </w:rPr>
              <w:t>1-800-579-1639</w:t>
            </w:r>
          </w:p>
        </w:tc>
      </w:tr>
      <w:tr>
        <w:trPr>
          <w:trHeight w:val="230"/>
        </w:trPr>
        <w:tc>
          <w:tcPr>
            <w:tcW w:w="160" w:type="dxa"/>
            <w:vAlign w:val="bottom"/>
          </w:tcPr>
          <w:p>
            <w:pPr>
              <w:jc w:val="right"/>
              <w:spacing w:after="0"/>
              <w:rPr>
                <w:sz w:val="20"/>
                <w:szCs w:val="20"/>
                <w:color w:val="auto"/>
              </w:rPr>
            </w:pPr>
            <w:r>
              <w:rPr>
                <w:rFonts w:ascii="Arial" w:cs="Arial" w:eastAsia="Arial" w:hAnsi="Arial"/>
                <w:sz w:val="18"/>
                <w:szCs w:val="18"/>
                <w:color w:val="auto"/>
                <w:w w:val="74"/>
              </w:rPr>
              <w:t>3)</w:t>
            </w:r>
          </w:p>
        </w:tc>
        <w:tc>
          <w:tcPr>
            <w:tcW w:w="1840" w:type="dxa"/>
            <w:vAlign w:val="bottom"/>
          </w:tcPr>
          <w:p>
            <w:pPr>
              <w:ind w:left="4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680" w:type="dxa"/>
            <w:vAlign w:val="bottom"/>
          </w:tcPr>
          <w:p>
            <w:pPr>
              <w:ind w:left="500"/>
              <w:spacing w:after="0"/>
              <w:rPr>
                <w:sz w:val="20"/>
                <w:szCs w:val="20"/>
                <w:color w:val="auto"/>
              </w:rPr>
            </w:pPr>
            <w:r>
              <w:rPr>
                <w:rFonts w:ascii="Arial" w:cs="Arial" w:eastAsia="Arial" w:hAnsi="Arial"/>
                <w:sz w:val="18"/>
                <w:szCs w:val="18"/>
                <w:color w:val="auto"/>
                <w:w w:val="90"/>
              </w:rPr>
              <w:t>sendmaterial@proxyvote.com</w:t>
            </w:r>
          </w:p>
        </w:tc>
      </w:tr>
    </w:tbl>
    <w:p>
      <w:pPr>
        <w:spacing w:after="0" w:line="107" w:lineRule="exact"/>
        <w:rPr>
          <w:sz w:val="20"/>
          <w:szCs w:val="20"/>
          <w:color w:val="auto"/>
        </w:rPr>
      </w:pPr>
    </w:p>
    <w:p>
      <w:pPr>
        <w:ind w:left="3" w:right="820" w:hanging="3"/>
        <w:spacing w:after="0" w:line="282" w:lineRule="auto"/>
        <w:tabs>
          <w:tab w:leader="none" w:pos="267"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requesting materials by e-mail, please send a blank e-mail with the information that is printed in the box marked by the arrow </w:t>
      </w:r>
      <w:r>
        <w:rPr>
          <w:rFonts w:ascii="Arial" w:cs="Arial" w:eastAsia="Arial" w:hAnsi="Arial"/>
          <w:sz w:val="1"/>
          <w:szCs w:val="1"/>
          <w:color w:val="auto"/>
        </w:rPr>
        <w:drawing>
          <wp:inline distT="0" distB="0" distL="0" distR="0">
            <wp:extent cx="1183640"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83640"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47" w:lineRule="exact"/>
        <w:rPr>
          <w:sz w:val="20"/>
          <w:szCs w:val="20"/>
          <w:color w:val="auto"/>
        </w:rPr>
      </w:pPr>
    </w:p>
    <w:p>
      <w:pPr>
        <w:ind w:left="3" w:right="44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23, 2019 to facilitate timely delivery.</w:t>
      </w:r>
    </w:p>
    <w:p>
      <w:pPr>
        <w:spacing w:after="0" w:line="396" w:lineRule="exact"/>
        <w:rPr>
          <w:sz w:val="20"/>
          <w:szCs w:val="20"/>
          <w:color w:val="auto"/>
        </w:rPr>
      </w:pPr>
    </w:p>
    <w:p>
      <w:pPr>
        <w:jc w:val="center"/>
        <w:ind w:right="-22"/>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22"/>
        <w:spacing w:after="0"/>
        <w:rPr>
          <w:sz w:val="20"/>
          <w:szCs w:val="20"/>
          <w:color w:val="auto"/>
        </w:rPr>
      </w:pPr>
      <w:r>
        <w:rPr>
          <w:rFonts w:ascii="Arial" w:cs="Arial" w:eastAsia="Arial" w:hAnsi="Arial"/>
          <w:sz w:val="18"/>
          <w:szCs w:val="18"/>
          <w:color w:val="auto"/>
        </w:rPr>
        <w:t>Please Choose One of the Following Voting Methods</w:t>
      </w:r>
    </w:p>
    <w:p>
      <w:pPr>
        <w:spacing w:after="0" w:line="139" w:lineRule="exact"/>
        <w:rPr>
          <w:sz w:val="20"/>
          <w:szCs w:val="20"/>
          <w:color w:val="auto"/>
        </w:rPr>
      </w:pPr>
    </w:p>
    <w:p>
      <w:pPr>
        <w:ind w:left="3"/>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 attendance ticket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-433070</wp:posOffset>
            </wp:positionV>
            <wp:extent cx="6989445" cy="1166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89445" cy="1166495"/>
                    </a:xfrm>
                    <a:prstGeom prst="rect">
                      <a:avLst/>
                    </a:prstGeom>
                    <a:noFill/>
                  </pic:spPr>
                </pic:pic>
              </a:graphicData>
            </a:graphic>
          </wp:anchor>
        </w:drawing>
      </w:r>
    </w:p>
    <w:p>
      <w:pPr>
        <w:spacing w:after="0" w:line="75" w:lineRule="exact"/>
        <w:rPr>
          <w:sz w:val="20"/>
          <w:szCs w:val="20"/>
          <w:color w:val="auto"/>
        </w:rPr>
      </w:pPr>
    </w:p>
    <w:p>
      <w:pPr>
        <w:ind w:left="3" w:right="280" w:hanging="6"/>
        <w:spacing w:after="0" w:line="286"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183640"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83640" cy="128905"/>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67"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283"/>
          </w:cols>
          <w:pgMar w:left="917" w:top="270" w:right="699" w:bottom="1440" w:gutter="0" w:footer="0" w:header="0"/>
        </w:sectPr>
      </w:pPr>
    </w:p>
    <w:bookmarkStart w:id="3" w:name="page4"/>
    <w:bookmarkEnd w:id="3"/>
    <w:p>
      <w:pPr>
        <w:ind w:left="1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183515</wp:posOffset>
            </wp:positionV>
            <wp:extent cx="221234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12340" cy="171450"/>
                    </a:xfrm>
                    <a:prstGeom prst="rect">
                      <a:avLst/>
                    </a:prstGeom>
                    <a:noFill/>
                  </pic:spPr>
                </pic:pic>
              </a:graphicData>
            </a:graphic>
          </wp:anchor>
        </w:drawing>
        <w:t>Voting items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each of the following director nominees:</w:t>
      </w:r>
    </w:p>
    <w:p>
      <w:pPr>
        <w:spacing w:after="0" w:line="229" w:lineRule="exact"/>
        <w:rPr>
          <w:sz w:val="20"/>
          <w:szCs w:val="20"/>
          <w:color w:val="auto"/>
        </w:rPr>
      </w:pPr>
    </w:p>
    <w:p>
      <w:pPr>
        <w:ind w:left="240" w:hanging="239"/>
        <w:spacing w:after="0"/>
        <w:tabs>
          <w:tab w:leader="none" w:pos="2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To elect three Class II directors to hold office until the 2022 annual meeting of stockholders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240"/>
        <w:spacing w:after="0"/>
        <w:tabs>
          <w:tab w:leader="none" w:pos="3080" w:val="left"/>
          <w:tab w:leader="none" w:pos="5720" w:val="left"/>
        </w:tabs>
        <w:rPr>
          <w:sz w:val="20"/>
          <w:szCs w:val="20"/>
          <w:color w:val="auto"/>
        </w:rPr>
      </w:pPr>
      <w:r>
        <w:rPr>
          <w:rFonts w:ascii="Arial" w:cs="Arial" w:eastAsia="Arial" w:hAnsi="Arial"/>
          <w:sz w:val="18"/>
          <w:szCs w:val="18"/>
          <w:color w:val="auto"/>
        </w:rPr>
        <w:t>01  Steven Conine</w:t>
      </w:r>
      <w:r>
        <w:rPr>
          <w:sz w:val="20"/>
          <w:szCs w:val="20"/>
          <w:color w:val="auto"/>
        </w:rPr>
        <w:tab/>
      </w:r>
      <w:r>
        <w:rPr>
          <w:rFonts w:ascii="Arial" w:cs="Arial" w:eastAsia="Arial" w:hAnsi="Arial"/>
          <w:sz w:val="18"/>
          <w:szCs w:val="18"/>
          <w:color w:val="auto"/>
        </w:rPr>
        <w:t>02  Stephen Kaufer</w:t>
      </w:r>
      <w:r>
        <w:rPr>
          <w:sz w:val="20"/>
          <w:szCs w:val="20"/>
          <w:color w:val="auto"/>
        </w:rPr>
        <w:tab/>
      </w:r>
      <w:r>
        <w:rPr>
          <w:rFonts w:ascii="Arial" w:cs="Arial" w:eastAsia="Arial" w:hAnsi="Arial"/>
          <w:sz w:val="16"/>
          <w:szCs w:val="16"/>
          <w:color w:val="auto"/>
        </w:rPr>
        <w:t>03  Anastasios Parafestas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27" w:lineRule="exact"/>
        <w:rPr>
          <w:sz w:val="20"/>
          <w:szCs w:val="20"/>
          <w:color w:val="auto"/>
        </w:rPr>
      </w:pPr>
    </w:p>
    <w:p>
      <w:pPr>
        <w:ind w:left="240" w:hanging="239"/>
        <w:spacing w:after="0"/>
        <w:tabs>
          <w:tab w:leader="none" w:pos="2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To ratify the selection of Ernst &amp; Young LLP as the Company’s independent registered public accounting firm for its fiscal year ending</w:t>
      </w:r>
    </w:p>
    <w:p>
      <w:pPr>
        <w:spacing w:after="0" w:line="200" w:lineRule="exact"/>
        <w:rPr>
          <w:sz w:val="20"/>
          <w:szCs w:val="20"/>
          <w:color w:val="auto"/>
        </w:rPr>
      </w:pPr>
    </w:p>
    <w:p>
      <w:pPr>
        <w:spacing w:after="0" w:line="238" w:lineRule="exact"/>
        <w:rPr>
          <w:sz w:val="20"/>
          <w:szCs w:val="20"/>
          <w:color w:val="auto"/>
        </w:rPr>
      </w:pPr>
    </w:p>
    <w:p>
      <w:pPr>
        <w:ind w:left="240" w:hanging="239"/>
        <w:spacing w:after="0" w:line="258" w:lineRule="auto"/>
        <w:tabs>
          <w:tab w:leader="none" w:pos="2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To approve, on a non-binding advisory basis, the frequency with which to hold future advisory votes on the compensation of the Company’s named executive officers.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To conduct any other business properly brought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160020</wp:posOffset>
            </wp:positionV>
            <wp:extent cx="85725" cy="892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92175"/>
                    </a:xfrm>
                    <a:prstGeom prst="rect">
                      <a:avLst/>
                    </a:prstGeom>
                    <a:noFill/>
                  </pic:spPr>
                </pic:pic>
              </a:graphicData>
            </a:graphic>
          </wp:anchor>
        </w:drawing>
      </w:r>
    </w:p>
    <w:p>
      <w:pPr>
        <w:sectPr>
          <w:pgSz w:w="11900" w:h="16838" w:orient="portrait"/>
          <w:cols w:equalWidth="0" w:num="1">
            <w:col w:w="10340"/>
          </w:cols>
          <w:pgMar w:left="780" w:top="297" w:right="77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577850</wp:posOffset>
            </wp:positionH>
            <wp:positionV relativeFrom="page">
              <wp:posOffset>3896360</wp:posOffset>
            </wp:positionV>
            <wp:extent cx="670623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06235" cy="26035"/>
                    </a:xfrm>
                    <a:prstGeom prst="rect">
                      <a:avLst/>
                    </a:prstGeom>
                    <a:noFill/>
                  </pic:spPr>
                </pic:pic>
              </a:graphicData>
            </a:graphic>
          </wp:anchor>
        </w:drawing>
        <w:drawing>
          <wp:anchor simplePos="0" relativeHeight="251657728" behindDoc="1" locked="0" layoutInCell="0" allowOverlap="1">
            <wp:simplePos x="0" y="0"/>
            <wp:positionH relativeFrom="page">
              <wp:posOffset>577850</wp:posOffset>
            </wp:positionH>
            <wp:positionV relativeFrom="page">
              <wp:posOffset>3956685</wp:posOffset>
            </wp:positionV>
            <wp:extent cx="67062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6235" cy="8890"/>
                    </a:xfrm>
                    <a:prstGeom prst="rect">
                      <a:avLst/>
                    </a:prstGeom>
                    <a:noFill/>
                  </pic:spPr>
                </pic:pic>
              </a:graphicData>
            </a:graphic>
          </wp:anchor>
        </w:drawing>
        <w:drawing>
          <wp:anchor simplePos="0" relativeHeight="251657728" behindDoc="1" locked="0" layoutInCell="0" allowOverlap="1">
            <wp:simplePos x="0" y="0"/>
            <wp:positionH relativeFrom="page">
              <wp:posOffset>577850</wp:posOffset>
            </wp:positionH>
            <wp:positionV relativeFrom="page">
              <wp:posOffset>6400800</wp:posOffset>
            </wp:positionV>
            <wp:extent cx="85725" cy="892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85725" cy="8921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2"/>
      <w:numFmt w:val="bullet"/>
      <w:start w:val="1"/>
    </w:lvl>
  </w:abstractNum>
  <w:abstractNum w:abstractNumId="8">
    <w:nsid w:val="5BD062C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2019-12-03T19:50:54Z</dcterms:created>
  <dcterms:modified xsi:type="dcterms:W3CDTF">2019-12-03T19:50:54Z</dcterms:modified>
</cp:coreProperties>
</file>