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Steinert Langley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BOYLSTON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CarGurus, Inc.</w:t>
              </w:r>
            </w:hyperlink>
            <w:r>
              <w:rPr/>
              <w:t xml:space="preserve"> [ </w:t>
            </w:r>
            <w:r>
              <w:rPr>
                <w:rFonts w:ascii="Times;serif" w:hAnsi="Times;serif"/>
                <w:color w:val="0000FF"/>
                <w:sz w:val="24"/>
                <w:shd w:fill="FFFFFF" w:val="clear"/>
              </w:rPr>
              <w:t>CARG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748"/>
        <w:gridCol w:w="1145"/>
        <w:gridCol w:w="984"/>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12,653</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884,483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for payment of tax liability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Langley Steinert Irrevocable Family Trust dated June 21, 2004, of which the Reporting Person's children are the beneficiaries. The Reporting Person may be deemed to have indirect ownership over such shares, but expressly disclaims beneficial ownership of such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Murray,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138" TargetMode="External"/><Relationship Id="rId5" Type="http://schemas.openxmlformats.org/officeDocument/2006/relationships/hyperlink" Target="http://www.sec.gov/cgi-bin/browse-edgar?action=getcompany&amp;CIK=00014942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633</Words>
  <Characters>3455</Characters>
  <CharactersWithSpaces>4015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