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Use these links to rapidly review the document</w:t>
      </w:r>
    </w:p>
    <w:p>
      <w:pPr>
        <w:spacing w:after="0" w:line="13" w:lineRule="exact"/>
        <w:rPr>
          <w:sz w:val="24"/>
          <w:szCs w:val="24"/>
          <w:color w:val="auto"/>
        </w:rPr>
      </w:pPr>
    </w:p>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4"/>
          <w:szCs w:val="14"/>
          <w:u w:val="single" w:color="auto"/>
          <w:color w:val="0000EE"/>
        </w:rPr>
      </w:pPr>
      <w:hyperlink w:anchor="page172">
        <w:r>
          <w:rPr>
            <w:rFonts w:ascii="Arial" w:cs="Arial" w:eastAsia="Arial" w:hAnsi="Arial"/>
            <w:sz w:val="14"/>
            <w:szCs w:val="14"/>
            <w:u w:val="single" w:color="auto"/>
            <w:color w:val="0000EE"/>
          </w:rPr>
          <w:t>INDEX TO CONSOLIDATED FINANCIAL STATEMENTS</w:t>
        </w:r>
      </w:hyperlink>
    </w:p>
    <w:p>
      <w:pPr>
        <w:spacing w:after="0" w:line="150" w:lineRule="exact"/>
        <w:rPr>
          <w:sz w:val="24"/>
          <w:szCs w:val="24"/>
          <w:color w:val="auto"/>
        </w:rPr>
      </w:pPr>
    </w:p>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Filed Pursuant to Rule 424(b)(4)</w:t>
      </w:r>
    </w:p>
    <w:p>
      <w:pPr>
        <w:spacing w:after="0" w:line="11" w:lineRule="exact"/>
        <w:rPr>
          <w:sz w:val="24"/>
          <w:szCs w:val="24"/>
          <w:color w:val="auto"/>
        </w:rPr>
      </w:pPr>
    </w:p>
    <w:p>
      <w:pPr>
        <w:jc w:val="right"/>
        <w:ind w:right="40"/>
        <w:spacing w:after="0"/>
        <w:rPr>
          <w:sz w:val="20"/>
          <w:szCs w:val="20"/>
          <w:color w:val="auto"/>
        </w:rPr>
      </w:pPr>
      <w:r>
        <w:rPr>
          <w:rFonts w:ascii="Arial" w:cs="Arial" w:eastAsia="Arial" w:hAnsi="Arial"/>
          <w:sz w:val="12"/>
          <w:szCs w:val="12"/>
          <w:b w:val="1"/>
          <w:bCs w:val="1"/>
          <w:color w:val="auto"/>
        </w:rPr>
        <w:t>Registration No. 333-220495</w:t>
      </w:r>
    </w:p>
    <w:p>
      <w:pPr>
        <w:spacing w:after="0" w:line="136"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9,400,000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2734310</wp:posOffset>
            </wp:positionH>
            <wp:positionV relativeFrom="paragraph">
              <wp:posOffset>96520</wp:posOffset>
            </wp:positionV>
            <wp:extent cx="1818640" cy="297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640" cy="297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Class A Common Stock</w:t>
      </w:r>
    </w:p>
    <w:p>
      <w:pPr>
        <w:spacing w:after="0" w:line="154" w:lineRule="exact"/>
        <w:rPr>
          <w:sz w:val="24"/>
          <w:szCs w:val="24"/>
          <w:color w:val="auto"/>
        </w:rPr>
      </w:pPr>
    </w:p>
    <w:p>
      <w:pPr>
        <w:ind w:left="320"/>
        <w:spacing w:after="0"/>
        <w:rPr>
          <w:sz w:val="20"/>
          <w:szCs w:val="20"/>
          <w:color w:val="auto"/>
        </w:rPr>
      </w:pPr>
      <w:r>
        <w:rPr>
          <w:rFonts w:ascii="Arial" w:cs="Arial" w:eastAsia="Arial" w:hAnsi="Arial"/>
          <w:sz w:val="12"/>
          <w:szCs w:val="12"/>
          <w:color w:val="auto"/>
        </w:rPr>
        <w:t>This is an initial public offering of shares of Class A common stock of CarGurus, Inc.</w:t>
      </w:r>
    </w:p>
    <w:p>
      <w:pPr>
        <w:spacing w:after="0" w:line="141" w:lineRule="exact"/>
        <w:rPr>
          <w:sz w:val="24"/>
          <w:szCs w:val="24"/>
          <w:color w:val="auto"/>
        </w:rPr>
      </w:pPr>
    </w:p>
    <w:p>
      <w:pPr>
        <w:ind w:right="140" w:firstLine="326"/>
        <w:spacing w:after="0" w:line="239" w:lineRule="auto"/>
        <w:rPr>
          <w:sz w:val="20"/>
          <w:szCs w:val="20"/>
          <w:color w:val="auto"/>
        </w:rPr>
      </w:pPr>
      <w:r>
        <w:rPr>
          <w:rFonts w:ascii="Arial" w:cs="Arial" w:eastAsia="Arial" w:hAnsi="Arial"/>
          <w:sz w:val="12"/>
          <w:szCs w:val="12"/>
          <w:color w:val="auto"/>
        </w:rPr>
        <w:t>We are offering 2,500,000 shares of Class A common stock. The selling stockholders identified in this prospectus are offering an additional 6,900,000 shares of Class A common stock. We will not receive any of the proceeds from the sale of the shares being sold by the selling stockholders.</w:t>
      </w:r>
    </w:p>
    <w:p>
      <w:pPr>
        <w:spacing w:after="0" w:line="139" w:lineRule="exact"/>
        <w:rPr>
          <w:sz w:val="24"/>
          <w:szCs w:val="24"/>
          <w:color w:val="auto"/>
        </w:rPr>
      </w:pPr>
    </w:p>
    <w:p>
      <w:pPr>
        <w:ind w:right="20" w:firstLine="326"/>
        <w:spacing w:after="0" w:line="237" w:lineRule="auto"/>
        <w:rPr>
          <w:sz w:val="20"/>
          <w:szCs w:val="20"/>
          <w:color w:val="auto"/>
        </w:rPr>
      </w:pPr>
      <w:r>
        <w:rPr>
          <w:rFonts w:ascii="Arial" w:cs="Arial" w:eastAsia="Arial" w:hAnsi="Arial"/>
          <w:sz w:val="12"/>
          <w:szCs w:val="12"/>
          <w:color w:val="auto"/>
        </w:rPr>
        <w:t>We have two classes of authorized common stock, Class A common stock and Class B common stock.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Outstanding shares of Class B common stock will represent approximately 78.5% of the voting power of our outstanding capital stock immediately following this offering.</w:t>
      </w:r>
    </w:p>
    <w:p>
      <w:pPr>
        <w:spacing w:after="0" w:line="141" w:lineRule="exact"/>
        <w:rPr>
          <w:sz w:val="24"/>
          <w:szCs w:val="24"/>
          <w:color w:val="auto"/>
        </w:rPr>
      </w:pPr>
    </w:p>
    <w:p>
      <w:pPr>
        <w:ind w:right="20" w:firstLine="326"/>
        <w:spacing w:after="0" w:line="239" w:lineRule="auto"/>
        <w:rPr>
          <w:sz w:val="20"/>
          <w:szCs w:val="20"/>
          <w:color w:val="auto"/>
        </w:rPr>
      </w:pPr>
      <w:r>
        <w:rPr>
          <w:rFonts w:ascii="Arial" w:cs="Arial" w:eastAsia="Arial" w:hAnsi="Arial"/>
          <w:sz w:val="12"/>
          <w:szCs w:val="12"/>
          <w:color w:val="auto"/>
        </w:rPr>
        <w:t>Following this offering, our founder, Chief Executive Officer, President, and Chairman, Langley Steinert, will hold or have the ability to control approximately 53% of the voting power of our outstanding capital stock. As a result, we will be a "controlled company" within the meaning of the corporate governance rules for the NASDAQ Stock Market. See the section titled "Management — Controlled Company."</w:t>
      </w:r>
    </w:p>
    <w:p>
      <w:pPr>
        <w:spacing w:after="0" w:line="139" w:lineRule="exact"/>
        <w:rPr>
          <w:sz w:val="24"/>
          <w:szCs w:val="24"/>
          <w:color w:val="auto"/>
        </w:rPr>
      </w:pPr>
    </w:p>
    <w:p>
      <w:pPr>
        <w:ind w:right="120" w:firstLine="326"/>
        <w:spacing w:after="0" w:line="239" w:lineRule="auto"/>
        <w:rPr>
          <w:sz w:val="20"/>
          <w:szCs w:val="20"/>
          <w:color w:val="auto"/>
        </w:rPr>
      </w:pPr>
      <w:r>
        <w:rPr>
          <w:rFonts w:ascii="Arial" w:cs="Arial" w:eastAsia="Arial" w:hAnsi="Arial"/>
          <w:sz w:val="12"/>
          <w:szCs w:val="12"/>
          <w:color w:val="auto"/>
        </w:rPr>
        <w:t>Prior to this offering, there has been no public market for our Class A common stock. The initial public offering price of our Class A common stock is $16.00 per share. Our Class A common stock has been approved for listing on the NASDAQ Global Select Market under the symbol "CARG."</w:t>
      </w:r>
    </w:p>
    <w:p>
      <w:pPr>
        <w:spacing w:after="0" w:line="139" w:lineRule="exact"/>
        <w:rPr>
          <w:sz w:val="24"/>
          <w:szCs w:val="24"/>
          <w:color w:val="auto"/>
        </w:rPr>
      </w:pPr>
    </w:p>
    <w:p>
      <w:pPr>
        <w:ind w:right="260" w:firstLine="326"/>
        <w:spacing w:after="0" w:line="239" w:lineRule="auto"/>
        <w:rPr>
          <w:sz w:val="20"/>
          <w:szCs w:val="20"/>
          <w:color w:val="auto"/>
        </w:rPr>
      </w:pPr>
      <w:r>
        <w:rPr>
          <w:rFonts w:ascii="Arial" w:cs="Arial" w:eastAsia="Arial" w:hAnsi="Arial"/>
          <w:sz w:val="12"/>
          <w:szCs w:val="12"/>
          <w:color w:val="auto"/>
        </w:rPr>
        <w:t>We are an "emerging growth company" as defined under the federal securities laws, and as such, we may elect to comply with certain reduced reporting requirements for this prospectus and may elect to do so in future filings. See "Prospectus Summary — Implications of Being an Emerging Growth Company."</w:t>
      </w:r>
    </w:p>
    <w:p>
      <w:pPr>
        <w:spacing w:after="0" w:line="127" w:lineRule="exact"/>
        <w:rPr>
          <w:sz w:val="24"/>
          <w:szCs w:val="24"/>
          <w:color w:val="auto"/>
        </w:rPr>
      </w:pPr>
    </w:p>
    <w:p>
      <w:pPr>
        <w:ind w:left="320"/>
        <w:spacing w:after="0"/>
        <w:rPr>
          <w:sz w:val="20"/>
          <w:szCs w:val="20"/>
          <w:color w:val="auto"/>
        </w:rPr>
      </w:pPr>
      <w:r>
        <w:rPr>
          <w:rFonts w:ascii="Arial" w:cs="Arial" w:eastAsia="Arial" w:hAnsi="Arial"/>
          <w:sz w:val="12"/>
          <w:szCs w:val="12"/>
          <w:i w:val="1"/>
          <w:iCs w:val="1"/>
          <w:color w:val="auto"/>
        </w:rPr>
        <w:t>See "Risk Factors" on page 17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95885</wp:posOffset>
            </wp:positionV>
            <wp:extent cx="13214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1435" cy="571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380" w:firstLine="325"/>
        <w:spacing w:after="0" w:line="262"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or other regulatory body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79375</wp:posOffset>
            </wp:positionV>
            <wp:extent cx="13214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1435" cy="571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114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Per Share</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Total</w:t>
            </w: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2"/>
                <w:szCs w:val="12"/>
                <w:color w:val="auto"/>
              </w:rPr>
              <w:t>Initial public offering price</w:t>
            </w:r>
          </w:p>
        </w:tc>
        <w:tc>
          <w:tcPr>
            <w:tcW w:w="23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16.00</w:t>
            </w:r>
          </w:p>
        </w:tc>
        <w:tc>
          <w:tcPr>
            <w:tcW w:w="2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150,400,000</w:t>
            </w:r>
          </w:p>
        </w:tc>
      </w:tr>
      <w:tr>
        <w:trPr>
          <w:trHeight w:val="162"/>
        </w:trPr>
        <w:tc>
          <w:tcPr>
            <w:tcW w:w="5080" w:type="dxa"/>
            <w:vAlign w:val="bottom"/>
            <w:gridSpan w:val="2"/>
          </w:tcPr>
          <w:p>
            <w:pPr>
              <w:spacing w:after="0" w:line="163" w:lineRule="exact"/>
              <w:rPr>
                <w:sz w:val="20"/>
                <w:szCs w:val="20"/>
                <w:color w:val="auto"/>
              </w:rPr>
            </w:pPr>
            <w:r>
              <w:rPr>
                <w:rFonts w:ascii="Arial" w:cs="Arial" w:eastAsia="Arial" w:hAnsi="Arial"/>
                <w:sz w:val="11"/>
                <w:szCs w:val="11"/>
                <w:color w:val="auto"/>
              </w:rPr>
              <w:t>Underwriting discount</w:t>
            </w:r>
            <w:r>
              <w:rPr>
                <w:rFonts w:ascii="Arial" w:cs="Arial" w:eastAsia="Arial" w:hAnsi="Arial"/>
                <w:sz w:val="18"/>
                <w:szCs w:val="18"/>
                <w:color w:val="auto"/>
                <w:vertAlign w:val="superscript"/>
              </w:rPr>
              <w:t>(1)</w:t>
            </w:r>
          </w:p>
        </w:tc>
        <w:tc>
          <w:tcPr>
            <w:tcW w:w="2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1.12</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10,528,000</w:t>
            </w:r>
          </w:p>
        </w:tc>
      </w:tr>
      <w:tr>
        <w:trPr>
          <w:trHeight w:val="135"/>
        </w:trPr>
        <w:tc>
          <w:tcPr>
            <w:tcW w:w="5080" w:type="dxa"/>
            <w:vAlign w:val="bottom"/>
            <w:gridSpan w:val="2"/>
          </w:tcPr>
          <w:p>
            <w:pPr>
              <w:spacing w:after="0" w:line="135" w:lineRule="exact"/>
              <w:rPr>
                <w:sz w:val="20"/>
                <w:szCs w:val="20"/>
                <w:color w:val="auto"/>
              </w:rPr>
            </w:pPr>
            <w:r>
              <w:rPr>
                <w:rFonts w:ascii="Arial" w:cs="Arial" w:eastAsia="Arial" w:hAnsi="Arial"/>
                <w:sz w:val="12"/>
                <w:szCs w:val="12"/>
                <w:color w:val="auto"/>
              </w:rPr>
              <w:t>Proceeds, before expenses, to CarGurus</w:t>
            </w:r>
          </w:p>
        </w:tc>
        <w:tc>
          <w:tcPr>
            <w:tcW w:w="23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14.88</w:t>
            </w:r>
          </w:p>
        </w:tc>
        <w:tc>
          <w:tcPr>
            <w:tcW w:w="2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37,200,000</w:t>
            </w:r>
          </w:p>
        </w:tc>
      </w:tr>
      <w:tr>
        <w:trPr>
          <w:trHeight w:val="140"/>
        </w:trPr>
        <w:tc>
          <w:tcPr>
            <w:tcW w:w="5080" w:type="dxa"/>
            <w:vAlign w:val="bottom"/>
            <w:gridSpan w:val="2"/>
          </w:tcPr>
          <w:p>
            <w:pPr>
              <w:spacing w:after="0"/>
              <w:rPr>
                <w:sz w:val="20"/>
                <w:szCs w:val="20"/>
                <w:color w:val="auto"/>
              </w:rPr>
            </w:pPr>
            <w:r>
              <w:rPr>
                <w:rFonts w:ascii="Arial" w:cs="Arial" w:eastAsia="Arial" w:hAnsi="Arial"/>
                <w:sz w:val="12"/>
                <w:szCs w:val="12"/>
                <w:color w:val="auto"/>
              </w:rPr>
              <w:t>Proceeds, before expenses, to the selling stockholders</w:t>
            </w:r>
          </w:p>
        </w:tc>
        <w:tc>
          <w:tcPr>
            <w:tcW w:w="2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14.88</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102,672,000</w:t>
            </w:r>
          </w:p>
        </w:tc>
      </w:tr>
      <w:tr>
        <w:trPr>
          <w:trHeight w:val="65"/>
        </w:trPr>
        <w:tc>
          <w:tcPr>
            <w:tcW w:w="920" w:type="dxa"/>
            <w:vAlign w:val="bottom"/>
            <w:tcBorders>
              <w:bottom w:val="single" w:sz="8" w:color="auto"/>
            </w:tcBorders>
          </w:tcPr>
          <w:p>
            <w:pPr>
              <w:spacing w:after="0"/>
              <w:rPr>
                <w:sz w:val="5"/>
                <w:szCs w:val="5"/>
                <w:color w:val="auto"/>
              </w:rPr>
            </w:pPr>
          </w:p>
        </w:tc>
        <w:tc>
          <w:tcPr>
            <w:tcW w:w="41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r>
    </w:tbl>
    <w:p>
      <w:pPr>
        <w:spacing w:after="0" w:line="101" w:lineRule="exact"/>
        <w:rPr>
          <w:sz w:val="24"/>
          <w:szCs w:val="24"/>
          <w:color w:val="auto"/>
        </w:rPr>
      </w:pPr>
    </w:p>
    <w:p>
      <w:pPr>
        <w:ind w:left="1500" w:hanging="360"/>
        <w:spacing w:after="0"/>
        <w:tabs>
          <w:tab w:leader="none" w:pos="1500" w:val="left"/>
        </w:tabs>
        <w:numPr>
          <w:ilvl w:val="0"/>
          <w:numId w:val="1"/>
        </w:numPr>
        <w:rPr>
          <w:rFonts w:ascii="Arial" w:cs="Arial" w:eastAsia="Arial" w:hAnsi="Arial"/>
          <w:sz w:val="14"/>
          <w:szCs w:val="14"/>
          <w:color w:val="auto"/>
          <w:vertAlign w:val="superscript"/>
        </w:rPr>
      </w:pPr>
      <w:r>
        <w:rPr>
          <w:rFonts w:ascii="Arial" w:cs="Arial" w:eastAsia="Arial" w:hAnsi="Arial"/>
          <w:sz w:val="10"/>
          <w:szCs w:val="10"/>
          <w:color w:val="auto"/>
        </w:rPr>
        <w:t>See the section titled "Underwriting (Conflicts of Interest)" for a description of the compensation payable to the underwriters.</w:t>
      </w:r>
    </w:p>
    <w:p>
      <w:pPr>
        <w:spacing w:after="0" w:line="136" w:lineRule="exact"/>
        <w:rPr>
          <w:sz w:val="24"/>
          <w:szCs w:val="24"/>
          <w:color w:val="auto"/>
        </w:rPr>
      </w:pPr>
    </w:p>
    <w:p>
      <w:pPr>
        <w:ind w:right="40" w:firstLine="323"/>
        <w:spacing w:after="0" w:line="239" w:lineRule="auto"/>
        <w:rPr>
          <w:sz w:val="20"/>
          <w:szCs w:val="20"/>
          <w:color w:val="auto"/>
        </w:rPr>
      </w:pPr>
      <w:r>
        <w:rPr>
          <w:rFonts w:ascii="Arial" w:cs="Arial" w:eastAsia="Arial" w:hAnsi="Arial"/>
          <w:sz w:val="12"/>
          <w:szCs w:val="12"/>
          <w:color w:val="auto"/>
        </w:rPr>
        <w:t>To the extent that the underwriters sell more than 9,400,000 shares of Class A common stock, the underwriters have the option to purchase up to an additional 1,410,000 shares of Class A common stock from us and certain of the selling stockholders at the initial public offering price less the underwriting discount.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86995</wp:posOffset>
            </wp:positionV>
            <wp:extent cx="132143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1435" cy="571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320"/>
        <w:spacing w:after="0"/>
        <w:rPr>
          <w:sz w:val="20"/>
          <w:szCs w:val="20"/>
          <w:color w:val="auto"/>
        </w:rPr>
      </w:pPr>
      <w:r>
        <w:rPr>
          <w:rFonts w:ascii="Arial" w:cs="Arial" w:eastAsia="Arial" w:hAnsi="Arial"/>
          <w:sz w:val="12"/>
          <w:szCs w:val="12"/>
          <w:color w:val="auto"/>
        </w:rPr>
        <w:t>The underwriters expect to deliver the shares against payment in New York, New York on or about October 16, 2017.</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ind w:left="1140"/>
              <w:spacing w:after="0"/>
              <w:rPr>
                <w:sz w:val="20"/>
                <w:szCs w:val="20"/>
                <w:color w:val="auto"/>
              </w:rPr>
            </w:pPr>
            <w:r>
              <w:rPr>
                <w:rFonts w:ascii="Arial" w:cs="Arial" w:eastAsia="Arial" w:hAnsi="Arial"/>
                <w:sz w:val="14"/>
                <w:szCs w:val="14"/>
                <w:b w:val="1"/>
                <w:bCs w:val="1"/>
                <w:color w:val="auto"/>
              </w:rPr>
              <w:t>Goldman Sachs &amp; Co. LLC</w:t>
            </w:r>
          </w:p>
        </w:tc>
        <w:tc>
          <w:tcPr>
            <w:tcW w:w="1080" w:type="dxa"/>
            <w:vAlign w:val="bottom"/>
          </w:tcPr>
          <w:p>
            <w:pPr>
              <w:spacing w:after="0"/>
              <w:rPr>
                <w:sz w:val="16"/>
                <w:szCs w:val="16"/>
                <w:color w:val="auto"/>
              </w:rPr>
            </w:pPr>
          </w:p>
        </w:tc>
        <w:tc>
          <w:tcPr>
            <w:tcW w:w="3260" w:type="dxa"/>
            <w:vAlign w:val="bottom"/>
            <w:gridSpan w:val="2"/>
          </w:tcPr>
          <w:p>
            <w:pPr>
              <w:ind w:left="680"/>
              <w:spacing w:after="0"/>
              <w:rPr>
                <w:sz w:val="20"/>
                <w:szCs w:val="20"/>
                <w:color w:val="auto"/>
              </w:rPr>
            </w:pPr>
            <w:r>
              <w:rPr>
                <w:rFonts w:ascii="Arial" w:cs="Arial" w:eastAsia="Arial" w:hAnsi="Arial"/>
                <w:sz w:val="14"/>
                <w:szCs w:val="14"/>
                <w:b w:val="1"/>
                <w:bCs w:val="1"/>
                <w:color w:val="auto"/>
              </w:rPr>
              <w:t>Allen &amp; Company LLC</w:t>
            </w:r>
          </w:p>
        </w:tc>
        <w:tc>
          <w:tcPr>
            <w:tcW w:w="3520" w:type="dxa"/>
            <w:vAlign w:val="bottom"/>
          </w:tcPr>
          <w:p>
            <w:pPr>
              <w:ind w:left="1060"/>
              <w:spacing w:after="0"/>
              <w:rPr>
                <w:sz w:val="20"/>
                <w:szCs w:val="20"/>
                <w:color w:val="auto"/>
              </w:rPr>
            </w:pPr>
            <w:r>
              <w:rPr>
                <w:rFonts w:ascii="Arial" w:cs="Arial" w:eastAsia="Arial" w:hAnsi="Arial"/>
                <w:sz w:val="14"/>
                <w:szCs w:val="14"/>
                <w:b w:val="1"/>
                <w:bCs w:val="1"/>
                <w:color w:val="auto"/>
              </w:rPr>
              <w:t>RBC Capital Markets</w:t>
            </w:r>
          </w:p>
        </w:tc>
      </w:tr>
      <w:tr>
        <w:trPr>
          <w:trHeight w:val="306"/>
        </w:trPr>
        <w:tc>
          <w:tcPr>
            <w:tcW w:w="3620" w:type="dxa"/>
            <w:vAlign w:val="bottom"/>
          </w:tcPr>
          <w:p>
            <w:pPr>
              <w:ind w:left="1140"/>
              <w:spacing w:after="0"/>
              <w:rPr>
                <w:sz w:val="20"/>
                <w:szCs w:val="20"/>
                <w:color w:val="auto"/>
              </w:rPr>
            </w:pPr>
            <w:r>
              <w:rPr>
                <w:rFonts w:ascii="Arial" w:cs="Arial" w:eastAsia="Arial" w:hAnsi="Arial"/>
                <w:sz w:val="14"/>
                <w:szCs w:val="14"/>
                <w:b w:val="1"/>
                <w:bCs w:val="1"/>
                <w:color w:val="auto"/>
              </w:rPr>
              <w:t>JMP Securities</w:t>
            </w:r>
          </w:p>
        </w:tc>
        <w:tc>
          <w:tcPr>
            <w:tcW w:w="4340" w:type="dxa"/>
            <w:vAlign w:val="bottom"/>
            <w:gridSpan w:val="3"/>
          </w:tcPr>
          <w:p>
            <w:pPr>
              <w:ind w:left="660"/>
              <w:spacing w:after="0"/>
              <w:rPr>
                <w:sz w:val="20"/>
                <w:szCs w:val="20"/>
                <w:color w:val="auto"/>
              </w:rPr>
            </w:pPr>
            <w:r>
              <w:rPr>
                <w:rFonts w:ascii="Arial" w:cs="Arial" w:eastAsia="Arial" w:hAnsi="Arial"/>
                <w:sz w:val="14"/>
                <w:szCs w:val="14"/>
                <w:b w:val="1"/>
                <w:bCs w:val="1"/>
                <w:color w:val="auto"/>
              </w:rPr>
              <w:t>Raymond James</w:t>
            </w:r>
          </w:p>
        </w:tc>
        <w:tc>
          <w:tcPr>
            <w:tcW w:w="3520" w:type="dxa"/>
            <w:vAlign w:val="bottom"/>
          </w:tcPr>
          <w:p>
            <w:pPr>
              <w:ind w:left="1500"/>
              <w:spacing w:after="0"/>
              <w:rPr>
                <w:sz w:val="20"/>
                <w:szCs w:val="20"/>
                <w:color w:val="auto"/>
              </w:rPr>
            </w:pPr>
            <w:r>
              <w:rPr>
                <w:rFonts w:ascii="Arial" w:cs="Arial" w:eastAsia="Arial" w:hAnsi="Arial"/>
                <w:sz w:val="14"/>
                <w:szCs w:val="14"/>
                <w:b w:val="1"/>
                <w:bCs w:val="1"/>
                <w:color w:val="auto"/>
              </w:rPr>
              <w:t>William Blair</w:t>
            </w:r>
          </w:p>
        </w:tc>
      </w:tr>
      <w:tr>
        <w:trPr>
          <w:trHeight w:val="138"/>
        </w:trPr>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681"/>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Arial" w:cs="Arial" w:eastAsia="Arial" w:hAnsi="Arial"/>
                <w:sz w:val="12"/>
                <w:szCs w:val="12"/>
                <w:color w:val="auto"/>
              </w:rPr>
              <w:t>Prospectus dated October 11, 2017</w:t>
            </w:r>
          </w:p>
        </w:tc>
        <w:tc>
          <w:tcPr>
            <w:tcW w:w="3520" w:type="dxa"/>
            <w:vAlign w:val="bottom"/>
          </w:tcPr>
          <w:p>
            <w:pPr>
              <w:spacing w:after="0"/>
              <w:rPr>
                <w:sz w:val="24"/>
                <w:szCs w:val="24"/>
                <w:color w:val="auto"/>
              </w:rPr>
            </w:pPr>
          </w:p>
        </w:tc>
      </w:tr>
      <w:tr>
        <w:trPr>
          <w:trHeight w:val="141"/>
        </w:trPr>
        <w:tc>
          <w:tcPr>
            <w:tcW w:w="36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20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03" w:right="199" w:bottom="1440" w:gutter="0" w:footer="0" w:header="0"/>
        </w:sectPr>
      </w:pPr>
    </w:p>
    <w:bookmarkStart w:id="1" w:name="page2"/>
    <w:bookmarkEnd w:id="1"/>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6849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684974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2" w:name="page3"/>
    <w:bookmarkEnd w:id="2"/>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4618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4618990"/>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40" w:type="dxa"/>
            <w:vAlign w:val="bottom"/>
            <w:gridSpan w:val="6"/>
          </w:tcPr>
          <w:p>
            <w:pPr>
              <w:ind w:left="460"/>
              <w:spacing w:after="0"/>
              <w:rPr>
                <w:sz w:val="20"/>
                <w:szCs w:val="20"/>
                <w:color w:val="auto"/>
              </w:rPr>
            </w:pPr>
            <w:r>
              <w:rPr>
                <w:rFonts w:ascii="Arial" w:cs="Arial" w:eastAsia="Arial" w:hAnsi="Arial"/>
                <w:sz w:val="12"/>
                <w:szCs w:val="12"/>
                <w:b w:val="1"/>
                <w:bCs w:val="1"/>
                <w:color w:val="auto"/>
              </w:rPr>
              <w:t>TABLE OF CONTENTS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1"/>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Page</w:t>
            </w:r>
          </w:p>
        </w:tc>
      </w:tr>
      <w:tr>
        <w:trPr>
          <w:trHeight w:val="115"/>
        </w:trPr>
        <w:tc>
          <w:tcPr>
            <w:tcW w:w="1440" w:type="dxa"/>
            <w:vAlign w:val="bottom"/>
            <w:gridSpan w:val="10"/>
          </w:tcPr>
          <w:p>
            <w:pPr>
              <w:spacing w:after="0" w:line="115" w:lineRule="exact"/>
              <w:rPr>
                <w:rFonts w:ascii="Arial" w:cs="Arial" w:eastAsia="Arial" w:hAnsi="Arial"/>
                <w:sz w:val="12"/>
                <w:szCs w:val="12"/>
                <w:color w:val="0000EE"/>
                <w:w w:val="96"/>
              </w:rPr>
            </w:pPr>
            <w:hyperlink w:anchor="page5">
              <w:r>
                <w:rPr>
                  <w:rFonts w:ascii="Arial" w:cs="Arial" w:eastAsia="Arial" w:hAnsi="Arial"/>
                  <w:sz w:val="12"/>
                  <w:szCs w:val="12"/>
                  <w:color w:val="0000EE"/>
                  <w:w w:val="96"/>
                </w:rPr>
                <w:t>PROSPECTUS SUMMARY</w:t>
              </w:r>
            </w:hyperlink>
          </w:p>
        </w:tc>
        <w:tc>
          <w:tcPr>
            <w:tcW w:w="7300" w:type="dxa"/>
            <w:vAlign w:val="bottom"/>
            <w:gridSpan w:val="15"/>
          </w:tcPr>
          <w:p>
            <w:pPr>
              <w:spacing w:after="0"/>
              <w:rPr>
                <w:sz w:val="10"/>
                <w:szCs w:val="10"/>
                <w:color w:val="auto"/>
              </w:rPr>
            </w:pPr>
          </w:p>
        </w:tc>
        <w:tc>
          <w:tcPr>
            <w:tcW w:w="340" w:type="dxa"/>
            <w:vAlign w:val="bottom"/>
            <w:gridSpan w:val="3"/>
          </w:tcPr>
          <w:p>
            <w:pPr>
              <w:jc w:val="right"/>
              <w:spacing w:after="0" w:line="115" w:lineRule="exact"/>
              <w:rPr>
                <w:rFonts w:ascii="Arial" w:cs="Arial" w:eastAsia="Arial" w:hAnsi="Arial"/>
                <w:sz w:val="12"/>
                <w:szCs w:val="12"/>
                <w:color w:val="0000EE"/>
              </w:rPr>
            </w:pPr>
            <w:hyperlink w:anchor="page5">
              <w:r>
                <w:rPr>
                  <w:rFonts w:ascii="Arial" w:cs="Arial" w:eastAsia="Arial" w:hAnsi="Arial"/>
                  <w:sz w:val="12"/>
                  <w:szCs w:val="12"/>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15"/>
        </w:trPr>
        <w:tc>
          <w:tcPr>
            <w:tcW w:w="860" w:type="dxa"/>
            <w:vAlign w:val="bottom"/>
            <w:tcBorders>
              <w:bottom w:val="single" w:sz="8" w:color="0000EE"/>
            </w:tcBorders>
            <w:gridSpan w:val="5"/>
          </w:tcPr>
          <w:p>
            <w:pPr>
              <w:spacing w:after="0" w:line="115" w:lineRule="exact"/>
              <w:rPr>
                <w:rFonts w:ascii="Arial" w:cs="Arial" w:eastAsia="Arial" w:hAnsi="Arial"/>
                <w:sz w:val="12"/>
                <w:szCs w:val="12"/>
                <w:color w:val="0000EE"/>
                <w:w w:val="94"/>
              </w:rPr>
            </w:pPr>
            <w:hyperlink w:anchor="page21">
              <w:r>
                <w:rPr>
                  <w:rFonts w:ascii="Arial" w:cs="Arial" w:eastAsia="Arial" w:hAnsi="Arial"/>
                  <w:sz w:val="12"/>
                  <w:szCs w:val="12"/>
                  <w:color w:val="0000EE"/>
                  <w:w w:val="94"/>
                </w:rPr>
                <w:t>RISK FACTORS</w:t>
              </w:r>
            </w:hyperlink>
          </w:p>
        </w:tc>
        <w:tc>
          <w:tcPr>
            <w:tcW w:w="580" w:type="dxa"/>
            <w:vAlign w:val="bottom"/>
            <w:gridSpan w:val="5"/>
          </w:tcPr>
          <w:p>
            <w:pPr>
              <w:spacing w:after="0"/>
              <w:rPr>
                <w:sz w:val="10"/>
                <w:szCs w:val="10"/>
                <w:color w:val="auto"/>
              </w:rPr>
            </w:pPr>
          </w:p>
        </w:tc>
        <w:tc>
          <w:tcPr>
            <w:tcW w:w="7300" w:type="dxa"/>
            <w:vAlign w:val="bottom"/>
            <w:gridSpan w:val="15"/>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21">
              <w:r>
                <w:rPr>
                  <w:rFonts w:ascii="Arial" w:cs="Arial" w:eastAsia="Arial" w:hAnsi="Arial"/>
                  <w:sz w:val="12"/>
                  <w:szCs w:val="12"/>
                  <w:color w:val="0000EE"/>
                  <w:w w:val="89"/>
                </w:rPr>
                <w:t>17</w:t>
              </w:r>
            </w:hyperlink>
          </w:p>
        </w:tc>
      </w:tr>
      <w:tr>
        <w:trPr>
          <w:trHeight w:val="115"/>
        </w:trPr>
        <w:tc>
          <w:tcPr>
            <w:tcW w:w="5640" w:type="dxa"/>
            <w:vAlign w:val="bottom"/>
            <w:tcBorders>
              <w:bottom w:val="single" w:sz="8" w:color="0000EE"/>
            </w:tcBorders>
            <w:gridSpan w:val="22"/>
          </w:tcPr>
          <w:p>
            <w:pPr>
              <w:spacing w:after="0" w:line="115" w:lineRule="exact"/>
              <w:rPr>
                <w:rFonts w:ascii="Arial" w:cs="Arial" w:eastAsia="Arial" w:hAnsi="Arial"/>
                <w:sz w:val="12"/>
                <w:szCs w:val="12"/>
                <w:color w:val="0000EE"/>
                <w:w w:val="96"/>
              </w:rPr>
            </w:pPr>
            <w:hyperlink w:anchor="page48">
              <w:r>
                <w:rPr>
                  <w:rFonts w:ascii="Arial" w:cs="Arial" w:eastAsia="Arial" w:hAnsi="Arial"/>
                  <w:sz w:val="12"/>
                  <w:szCs w:val="12"/>
                  <w:color w:val="0000EE"/>
                  <w:w w:val="96"/>
                </w:rPr>
                <w:t>SPECIAL NOTE REGARDING FORWARD-LOOKING STATEMENTS AND INDUSTRY AND MARKET DATA</w:t>
              </w:r>
            </w:hyperlink>
          </w:p>
        </w:tc>
        <w:tc>
          <w:tcPr>
            <w:tcW w:w="3100" w:type="dxa"/>
            <w:vAlign w:val="bottom"/>
            <w:gridSpan w:val="3"/>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48">
              <w:r>
                <w:rPr>
                  <w:rFonts w:ascii="Arial" w:cs="Arial" w:eastAsia="Arial" w:hAnsi="Arial"/>
                  <w:sz w:val="12"/>
                  <w:szCs w:val="12"/>
                  <w:color w:val="0000EE"/>
                  <w:w w:val="89"/>
                </w:rPr>
                <w:t>44</w:t>
              </w:r>
            </w:hyperlink>
          </w:p>
        </w:tc>
      </w:tr>
      <w:tr>
        <w:trPr>
          <w:trHeight w:val="115"/>
        </w:trPr>
        <w:tc>
          <w:tcPr>
            <w:tcW w:w="8740" w:type="dxa"/>
            <w:vAlign w:val="bottom"/>
            <w:gridSpan w:val="25"/>
          </w:tcPr>
          <w:p>
            <w:pPr>
              <w:spacing w:after="0" w:line="115" w:lineRule="exact"/>
              <w:rPr>
                <w:rFonts w:ascii="Arial" w:cs="Arial" w:eastAsia="Arial" w:hAnsi="Arial"/>
                <w:sz w:val="12"/>
                <w:szCs w:val="12"/>
                <w:color w:val="0000EE"/>
              </w:rPr>
            </w:pPr>
            <w:hyperlink w:anchor="page50">
              <w:r>
                <w:rPr>
                  <w:rFonts w:ascii="Arial" w:cs="Arial" w:eastAsia="Arial" w:hAnsi="Arial"/>
                  <w:sz w:val="12"/>
                  <w:szCs w:val="12"/>
                  <w:color w:val="0000EE"/>
                </w:rPr>
                <w:t>USE OF PROCEEDS</w:t>
              </w:r>
            </w:hyperlink>
          </w:p>
        </w:tc>
        <w:tc>
          <w:tcPr>
            <w:tcW w:w="340" w:type="dxa"/>
            <w:vAlign w:val="bottom"/>
            <w:gridSpan w:val="3"/>
          </w:tcPr>
          <w:p>
            <w:pPr>
              <w:jc w:val="right"/>
              <w:spacing w:after="0" w:line="115" w:lineRule="exact"/>
              <w:rPr>
                <w:rFonts w:ascii="Arial" w:cs="Arial" w:eastAsia="Arial" w:hAnsi="Arial"/>
                <w:sz w:val="12"/>
                <w:szCs w:val="12"/>
                <w:color w:val="0000EE"/>
              </w:rPr>
            </w:pPr>
            <w:hyperlink w:anchor="page50">
              <w:r>
                <w:rPr>
                  <w:rFonts w:ascii="Arial" w:cs="Arial" w:eastAsia="Arial" w:hAnsi="Arial"/>
                  <w:sz w:val="12"/>
                  <w:szCs w:val="12"/>
                  <w:color w:val="0000EE"/>
                </w:rPr>
                <w:t>46</w:t>
              </w:r>
            </w:hyperlink>
          </w:p>
        </w:tc>
      </w:tr>
      <w:tr>
        <w:trPr>
          <w:trHeight w:val="115"/>
        </w:trPr>
        <w:tc>
          <w:tcPr>
            <w:tcW w:w="1120" w:type="dxa"/>
            <w:vAlign w:val="bottom"/>
            <w:tcBorders>
              <w:top w:val="single" w:sz="8" w:color="0000EE"/>
            </w:tcBorders>
            <w:gridSpan w:val="9"/>
          </w:tcPr>
          <w:p>
            <w:pPr>
              <w:spacing w:after="0" w:line="115" w:lineRule="exact"/>
              <w:rPr>
                <w:rFonts w:ascii="Arial" w:cs="Arial" w:eastAsia="Arial" w:hAnsi="Arial"/>
                <w:sz w:val="12"/>
                <w:szCs w:val="12"/>
                <w:color w:val="0000EE"/>
              </w:rPr>
            </w:pPr>
            <w:hyperlink w:anchor="page51">
              <w:r>
                <w:rPr>
                  <w:rFonts w:ascii="Arial" w:cs="Arial" w:eastAsia="Arial" w:hAnsi="Arial"/>
                  <w:sz w:val="12"/>
                  <w:szCs w:val="12"/>
                  <w:color w:val="0000EE"/>
                </w:rPr>
                <w:t>DIVIDEND POLICY</w:t>
              </w:r>
            </w:hyperlink>
          </w:p>
        </w:tc>
        <w:tc>
          <w:tcPr>
            <w:tcW w:w="7620" w:type="dxa"/>
            <w:vAlign w:val="bottom"/>
            <w:gridSpan w:val="16"/>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top w:val="single" w:sz="8" w:color="0000EE"/>
            </w:tcBorders>
          </w:tcPr>
          <w:p>
            <w:pPr>
              <w:jc w:val="right"/>
              <w:spacing w:after="0" w:line="115" w:lineRule="exact"/>
              <w:rPr>
                <w:rFonts w:ascii="Arial" w:cs="Arial" w:eastAsia="Arial" w:hAnsi="Arial"/>
                <w:sz w:val="12"/>
                <w:szCs w:val="12"/>
                <w:color w:val="0000EE"/>
                <w:w w:val="89"/>
              </w:rPr>
            </w:pPr>
            <w:hyperlink w:anchor="page51">
              <w:r>
                <w:rPr>
                  <w:rFonts w:ascii="Arial" w:cs="Arial" w:eastAsia="Arial" w:hAnsi="Arial"/>
                  <w:sz w:val="12"/>
                  <w:szCs w:val="12"/>
                  <w:color w:val="0000EE"/>
                  <w:w w:val="89"/>
                </w:rPr>
                <w:t>47</w:t>
              </w:r>
            </w:hyperlink>
          </w:p>
        </w:tc>
      </w:tr>
      <w:tr>
        <w:trPr>
          <w:trHeight w:val="115"/>
        </w:trPr>
        <w:tc>
          <w:tcPr>
            <w:tcW w:w="940" w:type="dxa"/>
            <w:vAlign w:val="bottom"/>
            <w:tcBorders>
              <w:top w:val="single" w:sz="8" w:color="0000EE"/>
              <w:bottom w:val="single" w:sz="8" w:color="0000EE"/>
            </w:tcBorders>
            <w:gridSpan w:val="6"/>
          </w:tcPr>
          <w:p>
            <w:pPr>
              <w:spacing w:after="0" w:line="115" w:lineRule="exact"/>
              <w:rPr>
                <w:rFonts w:ascii="Arial" w:cs="Arial" w:eastAsia="Arial" w:hAnsi="Arial"/>
                <w:sz w:val="12"/>
                <w:szCs w:val="12"/>
                <w:color w:val="0000EE"/>
                <w:w w:val="94"/>
              </w:rPr>
            </w:pPr>
            <w:hyperlink w:anchor="page52">
              <w:r>
                <w:rPr>
                  <w:rFonts w:ascii="Arial" w:cs="Arial" w:eastAsia="Arial" w:hAnsi="Arial"/>
                  <w:sz w:val="12"/>
                  <w:szCs w:val="12"/>
                  <w:color w:val="0000EE"/>
                  <w:w w:val="94"/>
                </w:rPr>
                <w:t>CAPITALIZATION</w:t>
              </w:r>
            </w:hyperlink>
          </w:p>
        </w:tc>
        <w:tc>
          <w:tcPr>
            <w:tcW w:w="80" w:type="dxa"/>
            <w:vAlign w:val="bottom"/>
            <w:tcBorders>
              <w:top w:val="single" w:sz="8" w:color="0000EE"/>
            </w:tcBorders>
            <w:gridSpan w:val="2"/>
          </w:tcPr>
          <w:p>
            <w:pPr>
              <w:spacing w:after="0"/>
              <w:rPr>
                <w:sz w:val="10"/>
                <w:szCs w:val="10"/>
                <w:color w:val="auto"/>
              </w:rPr>
            </w:pPr>
          </w:p>
        </w:tc>
        <w:tc>
          <w:tcPr>
            <w:tcW w:w="7720" w:type="dxa"/>
            <w:vAlign w:val="bottom"/>
            <w:gridSpan w:val="17"/>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top w:val="single" w:sz="8" w:color="0000EE"/>
              <w:bottom w:val="single" w:sz="8" w:color="0000EE"/>
            </w:tcBorders>
          </w:tcPr>
          <w:p>
            <w:pPr>
              <w:jc w:val="right"/>
              <w:spacing w:after="0" w:line="115" w:lineRule="exact"/>
              <w:rPr>
                <w:rFonts w:ascii="Arial" w:cs="Arial" w:eastAsia="Arial" w:hAnsi="Arial"/>
                <w:sz w:val="12"/>
                <w:szCs w:val="12"/>
                <w:color w:val="0000EE"/>
                <w:w w:val="89"/>
              </w:rPr>
            </w:pPr>
            <w:hyperlink w:anchor="page52">
              <w:r>
                <w:rPr>
                  <w:rFonts w:ascii="Arial" w:cs="Arial" w:eastAsia="Arial" w:hAnsi="Arial"/>
                  <w:sz w:val="12"/>
                  <w:szCs w:val="12"/>
                  <w:color w:val="0000EE"/>
                  <w:w w:val="89"/>
                </w:rPr>
                <w:t>48</w:t>
              </w:r>
            </w:hyperlink>
          </w:p>
        </w:tc>
      </w:tr>
      <w:tr>
        <w:trPr>
          <w:trHeight w:val="115"/>
        </w:trPr>
        <w:tc>
          <w:tcPr>
            <w:tcW w:w="560" w:type="dxa"/>
            <w:vAlign w:val="bottom"/>
            <w:tcBorders>
              <w:bottom w:val="single" w:sz="8" w:color="0000EE"/>
            </w:tcBorders>
            <w:gridSpan w:val="2"/>
          </w:tcPr>
          <w:p>
            <w:pPr>
              <w:spacing w:after="0" w:line="115" w:lineRule="exact"/>
              <w:rPr>
                <w:rFonts w:ascii="Arial" w:cs="Arial" w:eastAsia="Arial" w:hAnsi="Arial"/>
                <w:sz w:val="12"/>
                <w:szCs w:val="12"/>
                <w:color w:val="0000EE"/>
                <w:w w:val="96"/>
              </w:rPr>
            </w:pPr>
            <w:hyperlink w:anchor="page55">
              <w:r>
                <w:rPr>
                  <w:rFonts w:ascii="Arial" w:cs="Arial" w:eastAsia="Arial" w:hAnsi="Arial"/>
                  <w:sz w:val="12"/>
                  <w:szCs w:val="12"/>
                  <w:color w:val="0000EE"/>
                  <w:w w:val="96"/>
                </w:rPr>
                <w:t>DILUTION</w:t>
              </w:r>
            </w:hyperlink>
          </w:p>
        </w:tc>
        <w:tc>
          <w:tcPr>
            <w:tcW w:w="8180" w:type="dxa"/>
            <w:vAlign w:val="bottom"/>
            <w:gridSpan w:val="23"/>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55">
              <w:r>
                <w:rPr>
                  <w:rFonts w:ascii="Arial" w:cs="Arial" w:eastAsia="Arial" w:hAnsi="Arial"/>
                  <w:sz w:val="12"/>
                  <w:szCs w:val="12"/>
                  <w:color w:val="0000EE"/>
                  <w:w w:val="89"/>
                </w:rPr>
                <w:t>51</w:t>
              </w:r>
            </w:hyperlink>
          </w:p>
        </w:tc>
      </w:tr>
      <w:tr>
        <w:trPr>
          <w:trHeight w:val="115"/>
        </w:trPr>
        <w:tc>
          <w:tcPr>
            <w:tcW w:w="3260" w:type="dxa"/>
            <w:vAlign w:val="bottom"/>
            <w:tcBorders>
              <w:bottom w:val="single" w:sz="8" w:color="0000EE"/>
            </w:tcBorders>
            <w:gridSpan w:val="18"/>
          </w:tcPr>
          <w:p>
            <w:pPr>
              <w:spacing w:after="0" w:line="115" w:lineRule="exact"/>
              <w:rPr>
                <w:rFonts w:ascii="Arial" w:cs="Arial" w:eastAsia="Arial" w:hAnsi="Arial"/>
                <w:sz w:val="12"/>
                <w:szCs w:val="12"/>
                <w:color w:val="0000EE"/>
                <w:w w:val="96"/>
              </w:rPr>
            </w:pPr>
            <w:hyperlink w:anchor="page58">
              <w:r>
                <w:rPr>
                  <w:rFonts w:ascii="Arial" w:cs="Arial" w:eastAsia="Arial" w:hAnsi="Arial"/>
                  <w:sz w:val="12"/>
                  <w:szCs w:val="12"/>
                  <w:color w:val="0000EE"/>
                  <w:w w:val="96"/>
                </w:rPr>
                <w:t>SELECTED CONSOLIDATED FINANCIAL AND OTHER DATA</w:t>
              </w:r>
            </w:hyperlink>
          </w:p>
        </w:tc>
        <w:tc>
          <w:tcPr>
            <w:tcW w:w="5480" w:type="dxa"/>
            <w:vAlign w:val="bottom"/>
            <w:gridSpan w:val="7"/>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58">
              <w:r>
                <w:rPr>
                  <w:rFonts w:ascii="Arial" w:cs="Arial" w:eastAsia="Arial" w:hAnsi="Arial"/>
                  <w:sz w:val="12"/>
                  <w:szCs w:val="12"/>
                  <w:color w:val="0000EE"/>
                  <w:w w:val="89"/>
                </w:rPr>
                <w:t>54</w:t>
              </w:r>
            </w:hyperlink>
          </w:p>
        </w:tc>
      </w:tr>
      <w:tr>
        <w:trPr>
          <w:trHeight w:val="115"/>
        </w:trPr>
        <w:tc>
          <w:tcPr>
            <w:tcW w:w="5940" w:type="dxa"/>
            <w:vAlign w:val="bottom"/>
            <w:tcBorders>
              <w:bottom w:val="single" w:sz="8" w:color="0000EE"/>
            </w:tcBorders>
            <w:gridSpan w:val="24"/>
          </w:tcPr>
          <w:p>
            <w:pPr>
              <w:spacing w:after="0" w:line="115" w:lineRule="exact"/>
              <w:rPr>
                <w:rFonts w:ascii="Arial" w:cs="Arial" w:eastAsia="Arial" w:hAnsi="Arial"/>
                <w:sz w:val="12"/>
                <w:szCs w:val="12"/>
                <w:color w:val="0000EE"/>
                <w:w w:val="96"/>
              </w:rPr>
            </w:pPr>
            <w:hyperlink w:anchor="page62">
              <w:r>
                <w:rPr>
                  <w:rFonts w:ascii="Arial" w:cs="Arial" w:eastAsia="Arial" w:hAnsi="Arial"/>
                  <w:sz w:val="12"/>
                  <w:szCs w:val="12"/>
                  <w:color w:val="0000EE"/>
                  <w:w w:val="96"/>
                </w:rPr>
                <w:t>MANAGEMENT'S DISCUSSION AND ANALYSIS OF FINANCIAL CONDITION AND RESULTS OF OPERATIONS</w:t>
              </w:r>
            </w:hyperlink>
          </w:p>
        </w:tc>
        <w:tc>
          <w:tcPr>
            <w:tcW w:w="28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62">
              <w:r>
                <w:rPr>
                  <w:rFonts w:ascii="Arial" w:cs="Arial" w:eastAsia="Arial" w:hAnsi="Arial"/>
                  <w:sz w:val="12"/>
                  <w:szCs w:val="12"/>
                  <w:color w:val="0000EE"/>
                  <w:w w:val="89"/>
                </w:rPr>
                <w:t>58</w:t>
              </w:r>
            </w:hyperlink>
          </w:p>
        </w:tc>
      </w:tr>
      <w:tr>
        <w:trPr>
          <w:trHeight w:val="115"/>
        </w:trPr>
        <w:tc>
          <w:tcPr>
            <w:tcW w:w="600" w:type="dxa"/>
            <w:vAlign w:val="bottom"/>
            <w:tcBorders>
              <w:bottom w:val="single" w:sz="8" w:color="0000EE"/>
            </w:tcBorders>
            <w:gridSpan w:val="3"/>
          </w:tcPr>
          <w:p>
            <w:pPr>
              <w:spacing w:after="0" w:line="115" w:lineRule="exact"/>
              <w:rPr>
                <w:rFonts w:ascii="Arial" w:cs="Arial" w:eastAsia="Arial" w:hAnsi="Arial"/>
                <w:sz w:val="12"/>
                <w:szCs w:val="12"/>
                <w:color w:val="0000EE"/>
                <w:w w:val="95"/>
              </w:rPr>
            </w:pPr>
            <w:hyperlink w:anchor="page94">
              <w:r>
                <w:rPr>
                  <w:rFonts w:ascii="Arial" w:cs="Arial" w:eastAsia="Arial" w:hAnsi="Arial"/>
                  <w:sz w:val="12"/>
                  <w:szCs w:val="12"/>
                  <w:color w:val="0000EE"/>
                  <w:w w:val="95"/>
                </w:rPr>
                <w:t>BUSINESS</w:t>
              </w:r>
            </w:hyperlink>
          </w:p>
        </w:tc>
        <w:tc>
          <w:tcPr>
            <w:tcW w:w="8140" w:type="dxa"/>
            <w:vAlign w:val="bottom"/>
            <w:gridSpan w:val="22"/>
          </w:tcPr>
          <w:p>
            <w:pPr>
              <w:spacing w:after="0"/>
              <w:rPr>
                <w:sz w:val="10"/>
                <w:szCs w:val="10"/>
                <w:color w:val="auto"/>
              </w:rPr>
            </w:pPr>
          </w:p>
        </w:tc>
        <w:tc>
          <w:tcPr>
            <w:tcW w:w="200" w:type="dxa"/>
            <w:vAlign w:val="bottom"/>
            <w:gridSpan w:val="2"/>
          </w:tcPr>
          <w:p>
            <w:pPr>
              <w:spacing w:after="0"/>
              <w:rPr>
                <w:sz w:val="10"/>
                <w:szCs w:val="10"/>
                <w:color w:val="auto"/>
              </w:rPr>
            </w:pPr>
          </w:p>
        </w:tc>
        <w:tc>
          <w:tcPr>
            <w:tcW w:w="140" w:type="dxa"/>
            <w:vAlign w:val="bottom"/>
            <w:tcBorders>
              <w:bottom w:val="single" w:sz="8" w:color="0000EE"/>
            </w:tcBorders>
          </w:tcPr>
          <w:p>
            <w:pPr>
              <w:jc w:val="right"/>
              <w:spacing w:after="0" w:line="115" w:lineRule="exact"/>
              <w:rPr>
                <w:rFonts w:ascii="Arial" w:cs="Arial" w:eastAsia="Arial" w:hAnsi="Arial"/>
                <w:sz w:val="12"/>
                <w:szCs w:val="12"/>
                <w:color w:val="0000EE"/>
                <w:w w:val="89"/>
              </w:rPr>
            </w:pPr>
            <w:hyperlink w:anchor="page94">
              <w:r>
                <w:rPr>
                  <w:rFonts w:ascii="Arial" w:cs="Arial" w:eastAsia="Arial" w:hAnsi="Arial"/>
                  <w:sz w:val="12"/>
                  <w:szCs w:val="12"/>
                  <w:color w:val="0000EE"/>
                  <w:w w:val="89"/>
                </w:rPr>
                <w:t>90</w:t>
              </w:r>
            </w:hyperlink>
          </w:p>
        </w:tc>
      </w:tr>
      <w:tr>
        <w:trPr>
          <w:trHeight w:val="115"/>
        </w:trPr>
        <w:tc>
          <w:tcPr>
            <w:tcW w:w="840" w:type="dxa"/>
            <w:vAlign w:val="bottom"/>
            <w:tcBorders>
              <w:bottom w:val="single" w:sz="8" w:color="0000EE"/>
            </w:tcBorders>
            <w:gridSpan w:val="4"/>
          </w:tcPr>
          <w:p>
            <w:pPr>
              <w:spacing w:after="0" w:line="115" w:lineRule="exact"/>
              <w:rPr>
                <w:rFonts w:ascii="Arial" w:cs="Arial" w:eastAsia="Arial" w:hAnsi="Arial"/>
                <w:sz w:val="12"/>
                <w:szCs w:val="12"/>
                <w:color w:val="0000EE"/>
                <w:w w:val="95"/>
              </w:rPr>
            </w:pPr>
            <w:hyperlink w:anchor="page114">
              <w:r>
                <w:rPr>
                  <w:rFonts w:ascii="Arial" w:cs="Arial" w:eastAsia="Arial" w:hAnsi="Arial"/>
                  <w:sz w:val="12"/>
                  <w:szCs w:val="12"/>
                  <w:color w:val="0000EE"/>
                  <w:w w:val="95"/>
                </w:rPr>
                <w:t>MANAGEMENT</w:t>
              </w:r>
            </w:hyperlink>
          </w:p>
        </w:tc>
        <w:tc>
          <w:tcPr>
            <w:tcW w:w="7900" w:type="dxa"/>
            <w:vAlign w:val="bottom"/>
            <w:gridSpan w:val="21"/>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14">
              <w:r>
                <w:rPr>
                  <w:rFonts w:ascii="Arial" w:cs="Arial" w:eastAsia="Arial" w:hAnsi="Arial"/>
                  <w:sz w:val="12"/>
                  <w:szCs w:val="12"/>
                  <w:color w:val="0000EE"/>
                  <w:w w:val="79"/>
                </w:rPr>
                <w:t>110</w:t>
              </w:r>
            </w:hyperlink>
          </w:p>
        </w:tc>
      </w:tr>
      <w:tr>
        <w:trPr>
          <w:trHeight w:val="115"/>
        </w:trPr>
        <w:tc>
          <w:tcPr>
            <w:tcW w:w="1640" w:type="dxa"/>
            <w:vAlign w:val="bottom"/>
            <w:tcBorders>
              <w:bottom w:val="single" w:sz="8" w:color="0000EE"/>
            </w:tcBorders>
            <w:gridSpan w:val="11"/>
          </w:tcPr>
          <w:p>
            <w:pPr>
              <w:spacing w:after="0" w:line="115" w:lineRule="exact"/>
              <w:rPr>
                <w:rFonts w:ascii="Arial" w:cs="Arial" w:eastAsia="Arial" w:hAnsi="Arial"/>
                <w:sz w:val="12"/>
                <w:szCs w:val="12"/>
                <w:color w:val="0000EE"/>
                <w:w w:val="95"/>
              </w:rPr>
            </w:pPr>
            <w:hyperlink w:anchor="page122">
              <w:r>
                <w:rPr>
                  <w:rFonts w:ascii="Arial" w:cs="Arial" w:eastAsia="Arial" w:hAnsi="Arial"/>
                  <w:sz w:val="12"/>
                  <w:szCs w:val="12"/>
                  <w:color w:val="0000EE"/>
                  <w:w w:val="95"/>
                </w:rPr>
                <w:t>EXECUTIVE COMPENSATION</w:t>
              </w:r>
            </w:hyperlink>
          </w:p>
        </w:tc>
        <w:tc>
          <w:tcPr>
            <w:tcW w:w="7100" w:type="dxa"/>
            <w:vAlign w:val="bottom"/>
            <w:gridSpan w:val="14"/>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22">
              <w:r>
                <w:rPr>
                  <w:rFonts w:ascii="Arial" w:cs="Arial" w:eastAsia="Arial" w:hAnsi="Arial"/>
                  <w:sz w:val="12"/>
                  <w:szCs w:val="12"/>
                  <w:color w:val="0000EE"/>
                  <w:w w:val="79"/>
                </w:rPr>
                <w:t>118</w:t>
              </w:r>
            </w:hyperlink>
          </w:p>
        </w:tc>
      </w:tr>
      <w:tr>
        <w:trPr>
          <w:trHeight w:val="115"/>
        </w:trPr>
        <w:tc>
          <w:tcPr>
            <w:tcW w:w="4300" w:type="dxa"/>
            <w:vAlign w:val="bottom"/>
            <w:tcBorders>
              <w:bottom w:val="single" w:sz="8" w:color="0000EE"/>
            </w:tcBorders>
            <w:gridSpan w:val="20"/>
          </w:tcPr>
          <w:p>
            <w:pPr>
              <w:spacing w:after="0" w:line="115" w:lineRule="exact"/>
              <w:rPr>
                <w:rFonts w:ascii="Arial" w:cs="Arial" w:eastAsia="Arial" w:hAnsi="Arial"/>
                <w:sz w:val="12"/>
                <w:szCs w:val="12"/>
                <w:color w:val="0000EE"/>
                <w:w w:val="96"/>
              </w:rPr>
            </w:pPr>
            <w:hyperlink w:anchor="page140">
              <w:r>
                <w:rPr>
                  <w:rFonts w:ascii="Arial" w:cs="Arial" w:eastAsia="Arial" w:hAnsi="Arial"/>
                  <w:sz w:val="12"/>
                  <w:szCs w:val="12"/>
                  <w:color w:val="0000EE"/>
                  <w:w w:val="96"/>
                </w:rPr>
                <w:t>CERTAIN RELATIONSHIPS, RELATED PERSON, AND OTHER TRANSACTIONS</w:t>
              </w:r>
            </w:hyperlink>
          </w:p>
        </w:tc>
        <w:tc>
          <w:tcPr>
            <w:tcW w:w="4440" w:type="dxa"/>
            <w:vAlign w:val="bottom"/>
            <w:gridSpan w:val="5"/>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40">
              <w:r>
                <w:rPr>
                  <w:rFonts w:ascii="Arial" w:cs="Arial" w:eastAsia="Arial" w:hAnsi="Arial"/>
                  <w:sz w:val="12"/>
                  <w:szCs w:val="12"/>
                  <w:color w:val="0000EE"/>
                  <w:w w:val="79"/>
                </w:rPr>
                <w:t>136</w:t>
              </w:r>
            </w:hyperlink>
          </w:p>
        </w:tc>
      </w:tr>
      <w:tr>
        <w:trPr>
          <w:trHeight w:val="115"/>
        </w:trPr>
        <w:tc>
          <w:tcPr>
            <w:tcW w:w="2420" w:type="dxa"/>
            <w:vAlign w:val="bottom"/>
            <w:tcBorders>
              <w:bottom w:val="single" w:sz="8" w:color="0000EE"/>
            </w:tcBorders>
            <w:gridSpan w:val="14"/>
          </w:tcPr>
          <w:p>
            <w:pPr>
              <w:spacing w:after="0" w:line="115" w:lineRule="exact"/>
              <w:rPr>
                <w:rFonts w:ascii="Arial" w:cs="Arial" w:eastAsia="Arial" w:hAnsi="Arial"/>
                <w:sz w:val="12"/>
                <w:szCs w:val="12"/>
                <w:color w:val="0000EE"/>
                <w:w w:val="96"/>
              </w:rPr>
            </w:pPr>
            <w:hyperlink w:anchor="page146">
              <w:r>
                <w:rPr>
                  <w:rFonts w:ascii="Arial" w:cs="Arial" w:eastAsia="Arial" w:hAnsi="Arial"/>
                  <w:sz w:val="12"/>
                  <w:szCs w:val="12"/>
                  <w:color w:val="0000EE"/>
                  <w:w w:val="96"/>
                </w:rPr>
                <w:t>PRINCIPAL AND SELLING STOCKHOLDERS</w:t>
              </w:r>
            </w:hyperlink>
          </w:p>
        </w:tc>
        <w:tc>
          <w:tcPr>
            <w:tcW w:w="6320" w:type="dxa"/>
            <w:vAlign w:val="bottom"/>
            <w:gridSpan w:val="11"/>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46">
              <w:r>
                <w:rPr>
                  <w:rFonts w:ascii="Arial" w:cs="Arial" w:eastAsia="Arial" w:hAnsi="Arial"/>
                  <w:sz w:val="12"/>
                  <w:szCs w:val="12"/>
                  <w:color w:val="0000EE"/>
                  <w:w w:val="79"/>
                </w:rPr>
                <w:t>142</w:t>
              </w:r>
            </w:hyperlink>
          </w:p>
        </w:tc>
      </w:tr>
      <w:tr>
        <w:trPr>
          <w:trHeight w:val="115"/>
        </w:trPr>
        <w:tc>
          <w:tcPr>
            <w:tcW w:w="8740" w:type="dxa"/>
            <w:vAlign w:val="bottom"/>
            <w:gridSpan w:val="25"/>
          </w:tcPr>
          <w:p>
            <w:pPr>
              <w:spacing w:after="0" w:line="115" w:lineRule="exact"/>
              <w:rPr>
                <w:rFonts w:ascii="Arial" w:cs="Arial" w:eastAsia="Arial" w:hAnsi="Arial"/>
                <w:sz w:val="12"/>
                <w:szCs w:val="12"/>
                <w:color w:val="0000EE"/>
              </w:rPr>
            </w:pPr>
            <w:hyperlink w:anchor="page149">
              <w:r>
                <w:rPr>
                  <w:rFonts w:ascii="Arial" w:cs="Arial" w:eastAsia="Arial" w:hAnsi="Arial"/>
                  <w:sz w:val="12"/>
                  <w:szCs w:val="12"/>
                  <w:color w:val="0000EE"/>
                </w:rPr>
                <w:t>DESCRIPTION OF CAPITAL STOCK</w:t>
              </w:r>
            </w:hyperlink>
          </w:p>
        </w:tc>
        <w:tc>
          <w:tcPr>
            <w:tcW w:w="340" w:type="dxa"/>
            <w:vAlign w:val="bottom"/>
            <w:gridSpan w:val="3"/>
          </w:tcPr>
          <w:p>
            <w:pPr>
              <w:jc w:val="right"/>
              <w:spacing w:after="0" w:line="115" w:lineRule="exact"/>
              <w:rPr>
                <w:rFonts w:ascii="Arial" w:cs="Arial" w:eastAsia="Arial" w:hAnsi="Arial"/>
                <w:sz w:val="12"/>
                <w:szCs w:val="12"/>
                <w:color w:val="0000EE"/>
              </w:rPr>
            </w:pPr>
            <w:hyperlink w:anchor="page149">
              <w:r>
                <w:rPr>
                  <w:rFonts w:ascii="Arial" w:cs="Arial" w:eastAsia="Arial" w:hAnsi="Arial"/>
                  <w:sz w:val="12"/>
                  <w:szCs w:val="12"/>
                  <w:color w:val="0000EE"/>
                </w:rPr>
                <w:t>145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15"/>
        </w:trPr>
        <w:tc>
          <w:tcPr>
            <w:tcW w:w="2160" w:type="dxa"/>
            <w:vAlign w:val="bottom"/>
            <w:tcBorders>
              <w:bottom w:val="single" w:sz="8" w:color="0000EE"/>
            </w:tcBorders>
            <w:gridSpan w:val="13"/>
          </w:tcPr>
          <w:p>
            <w:pPr>
              <w:spacing w:after="0" w:line="115" w:lineRule="exact"/>
              <w:rPr>
                <w:rFonts w:ascii="Arial" w:cs="Arial" w:eastAsia="Arial" w:hAnsi="Arial"/>
                <w:sz w:val="12"/>
                <w:szCs w:val="12"/>
                <w:color w:val="0000EE"/>
                <w:w w:val="96"/>
              </w:rPr>
            </w:pPr>
            <w:hyperlink w:anchor="page156">
              <w:r>
                <w:rPr>
                  <w:rFonts w:ascii="Arial" w:cs="Arial" w:eastAsia="Arial" w:hAnsi="Arial"/>
                  <w:sz w:val="12"/>
                  <w:szCs w:val="12"/>
                  <w:color w:val="0000EE"/>
                  <w:w w:val="96"/>
                </w:rPr>
                <w:t>SHARES ELIGIBLE FOR FUTURE SALE</w:t>
              </w:r>
            </w:hyperlink>
          </w:p>
        </w:tc>
        <w:tc>
          <w:tcPr>
            <w:tcW w:w="6580" w:type="dxa"/>
            <w:vAlign w:val="bottom"/>
            <w:gridSpan w:val="12"/>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56">
              <w:r>
                <w:rPr>
                  <w:rFonts w:ascii="Arial" w:cs="Arial" w:eastAsia="Arial" w:hAnsi="Arial"/>
                  <w:sz w:val="12"/>
                  <w:szCs w:val="12"/>
                  <w:color w:val="0000EE"/>
                  <w:w w:val="79"/>
                </w:rPr>
                <w:t>152</w:t>
              </w:r>
            </w:hyperlink>
          </w:p>
        </w:tc>
      </w:tr>
      <w:tr>
        <w:trPr>
          <w:trHeight w:val="115"/>
        </w:trPr>
        <w:tc>
          <w:tcPr>
            <w:tcW w:w="5300" w:type="dxa"/>
            <w:vAlign w:val="bottom"/>
            <w:tcBorders>
              <w:bottom w:val="single" w:sz="8" w:color="0000EE"/>
            </w:tcBorders>
            <w:gridSpan w:val="21"/>
          </w:tcPr>
          <w:p>
            <w:pPr>
              <w:spacing w:after="0" w:line="115" w:lineRule="exact"/>
              <w:rPr>
                <w:rFonts w:ascii="Arial" w:cs="Arial" w:eastAsia="Arial" w:hAnsi="Arial"/>
                <w:sz w:val="12"/>
                <w:szCs w:val="12"/>
                <w:color w:val="0000EE"/>
                <w:w w:val="96"/>
              </w:rPr>
            </w:pPr>
            <w:hyperlink w:anchor="page159">
              <w:r>
                <w:rPr>
                  <w:rFonts w:ascii="Arial" w:cs="Arial" w:eastAsia="Arial" w:hAnsi="Arial"/>
                  <w:sz w:val="12"/>
                  <w:szCs w:val="12"/>
                  <w:color w:val="0000EE"/>
                  <w:w w:val="96"/>
                </w:rPr>
                <w:t>MATERIAL U.S. FEDERAL INCOME AND ESTATE TAX CONSEQUENCES TO NON-U.S. HOLDERS</w:t>
              </w:r>
            </w:hyperlink>
          </w:p>
        </w:tc>
        <w:tc>
          <w:tcPr>
            <w:tcW w:w="344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59">
              <w:r>
                <w:rPr>
                  <w:rFonts w:ascii="Arial" w:cs="Arial" w:eastAsia="Arial" w:hAnsi="Arial"/>
                  <w:sz w:val="12"/>
                  <w:szCs w:val="12"/>
                  <w:color w:val="0000EE"/>
                  <w:w w:val="79"/>
                </w:rPr>
                <w:t>155</w:t>
              </w:r>
            </w:hyperlink>
          </w:p>
        </w:tc>
      </w:tr>
      <w:tr>
        <w:trPr>
          <w:trHeight w:val="115"/>
        </w:trPr>
        <w:tc>
          <w:tcPr>
            <w:tcW w:w="8740" w:type="dxa"/>
            <w:vAlign w:val="bottom"/>
            <w:gridSpan w:val="25"/>
          </w:tcPr>
          <w:p>
            <w:pPr>
              <w:spacing w:after="0" w:line="115" w:lineRule="exact"/>
              <w:rPr>
                <w:rFonts w:ascii="Arial" w:cs="Arial" w:eastAsia="Arial" w:hAnsi="Arial"/>
                <w:sz w:val="12"/>
                <w:szCs w:val="12"/>
                <w:color w:val="0000EE"/>
              </w:rPr>
            </w:pPr>
            <w:hyperlink w:anchor="page165">
              <w:r>
                <w:rPr>
                  <w:rFonts w:ascii="Arial" w:cs="Arial" w:eastAsia="Arial" w:hAnsi="Arial"/>
                  <w:sz w:val="12"/>
                  <w:szCs w:val="12"/>
                  <w:color w:val="0000EE"/>
                </w:rPr>
                <w:t>UNDERWRITING (CONFLICTS OF INTEREST)</w:t>
              </w:r>
            </w:hyperlink>
          </w:p>
        </w:tc>
        <w:tc>
          <w:tcPr>
            <w:tcW w:w="340" w:type="dxa"/>
            <w:vAlign w:val="bottom"/>
            <w:gridSpan w:val="3"/>
          </w:tcPr>
          <w:p>
            <w:pPr>
              <w:jc w:val="right"/>
              <w:spacing w:after="0" w:line="115" w:lineRule="exact"/>
              <w:rPr>
                <w:rFonts w:ascii="Arial" w:cs="Arial" w:eastAsia="Arial" w:hAnsi="Arial"/>
                <w:sz w:val="12"/>
                <w:szCs w:val="12"/>
                <w:color w:val="0000EE"/>
              </w:rPr>
            </w:pPr>
            <w:hyperlink w:anchor="page165">
              <w:r>
                <w:rPr>
                  <w:rFonts w:ascii="Arial" w:cs="Arial" w:eastAsia="Arial" w:hAnsi="Arial"/>
                  <w:sz w:val="12"/>
                  <w:szCs w:val="12"/>
                  <w:color w:val="0000EE"/>
                </w:rPr>
                <w:t>161</w:t>
              </w:r>
            </w:hyperlink>
          </w:p>
        </w:tc>
      </w:tr>
      <w:tr>
        <w:trPr>
          <w:trHeight w:val="115"/>
        </w:trPr>
        <w:tc>
          <w:tcPr>
            <w:tcW w:w="2500" w:type="dxa"/>
            <w:vAlign w:val="bottom"/>
            <w:tcBorders>
              <w:top w:val="single" w:sz="8" w:color="0000EE"/>
            </w:tcBorders>
            <w:gridSpan w:val="15"/>
          </w:tcPr>
          <w:p>
            <w:pPr>
              <w:spacing w:after="0" w:line="115" w:lineRule="exact"/>
              <w:rPr>
                <w:rFonts w:ascii="Arial" w:cs="Arial" w:eastAsia="Arial" w:hAnsi="Arial"/>
                <w:sz w:val="12"/>
                <w:szCs w:val="12"/>
                <w:color w:val="0000EE"/>
              </w:rPr>
            </w:pPr>
            <w:hyperlink w:anchor="page171">
              <w:r>
                <w:rPr>
                  <w:rFonts w:ascii="Arial" w:cs="Arial" w:eastAsia="Arial" w:hAnsi="Arial"/>
                  <w:sz w:val="12"/>
                  <w:szCs w:val="12"/>
                  <w:color w:val="0000EE"/>
                </w:rPr>
                <w:t>LEGAL MATTERS</w:t>
              </w:r>
            </w:hyperlink>
          </w:p>
        </w:tc>
        <w:tc>
          <w:tcPr>
            <w:tcW w:w="6240" w:type="dxa"/>
            <w:vAlign w:val="bottom"/>
            <w:gridSpan w:val="10"/>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0000EE"/>
            </w:tcBorders>
            <w:gridSpan w:val="2"/>
          </w:tcPr>
          <w:p>
            <w:pPr>
              <w:jc w:val="right"/>
              <w:spacing w:after="0" w:line="115" w:lineRule="exact"/>
              <w:rPr>
                <w:rFonts w:ascii="Arial" w:cs="Arial" w:eastAsia="Arial" w:hAnsi="Arial"/>
                <w:sz w:val="12"/>
                <w:szCs w:val="12"/>
                <w:color w:val="0000EE"/>
                <w:w w:val="79"/>
              </w:rPr>
            </w:pPr>
            <w:hyperlink w:anchor="page171">
              <w:r>
                <w:rPr>
                  <w:rFonts w:ascii="Arial" w:cs="Arial" w:eastAsia="Arial" w:hAnsi="Arial"/>
                  <w:sz w:val="12"/>
                  <w:szCs w:val="12"/>
                  <w:color w:val="0000EE"/>
                  <w:w w:val="79"/>
                </w:rPr>
                <w:t>167</w:t>
              </w:r>
            </w:hyperlink>
          </w:p>
        </w:tc>
      </w:tr>
      <w:tr>
        <w:trPr>
          <w:trHeight w:val="115"/>
        </w:trPr>
        <w:tc>
          <w:tcPr>
            <w:tcW w:w="960" w:type="dxa"/>
            <w:vAlign w:val="bottom"/>
            <w:tcBorders>
              <w:top w:val="single" w:sz="8" w:color="0000EE"/>
            </w:tcBorders>
            <w:gridSpan w:val="7"/>
          </w:tcPr>
          <w:p>
            <w:pPr>
              <w:spacing w:after="0" w:line="115" w:lineRule="exact"/>
              <w:rPr>
                <w:rFonts w:ascii="Arial" w:cs="Arial" w:eastAsia="Arial" w:hAnsi="Arial"/>
                <w:sz w:val="12"/>
                <w:szCs w:val="12"/>
                <w:color w:val="0000EE"/>
              </w:rPr>
            </w:pPr>
            <w:hyperlink w:anchor="page171">
              <w:r>
                <w:rPr>
                  <w:rFonts w:ascii="Arial" w:cs="Arial" w:eastAsia="Arial" w:hAnsi="Arial"/>
                  <w:sz w:val="12"/>
                  <w:szCs w:val="12"/>
                  <w:color w:val="0000EE"/>
                </w:rPr>
                <w:t>EXPERTS</w:t>
              </w:r>
            </w:hyperlink>
          </w:p>
        </w:tc>
        <w:tc>
          <w:tcPr>
            <w:tcW w:w="7780" w:type="dxa"/>
            <w:vAlign w:val="bottom"/>
            <w:gridSpan w:val="18"/>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0000EE"/>
            </w:tcBorders>
            <w:gridSpan w:val="2"/>
          </w:tcPr>
          <w:p>
            <w:pPr>
              <w:jc w:val="right"/>
              <w:spacing w:after="0" w:line="115" w:lineRule="exact"/>
              <w:rPr>
                <w:rFonts w:ascii="Arial" w:cs="Arial" w:eastAsia="Arial" w:hAnsi="Arial"/>
                <w:sz w:val="12"/>
                <w:szCs w:val="12"/>
                <w:color w:val="0000EE"/>
                <w:w w:val="79"/>
              </w:rPr>
            </w:pPr>
            <w:hyperlink w:anchor="page171">
              <w:r>
                <w:rPr>
                  <w:rFonts w:ascii="Arial" w:cs="Arial" w:eastAsia="Arial" w:hAnsi="Arial"/>
                  <w:sz w:val="12"/>
                  <w:szCs w:val="12"/>
                  <w:color w:val="0000EE"/>
                  <w:w w:val="79"/>
                </w:rPr>
                <w:t>167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r>
      <w:tr>
        <w:trPr>
          <w:trHeight w:val="115"/>
        </w:trPr>
        <w:tc>
          <w:tcPr>
            <w:tcW w:w="2540" w:type="dxa"/>
            <w:vAlign w:val="bottom"/>
            <w:tcBorders>
              <w:bottom w:val="single" w:sz="8" w:color="0000EE"/>
            </w:tcBorders>
            <w:gridSpan w:val="16"/>
          </w:tcPr>
          <w:p>
            <w:pPr>
              <w:spacing w:after="0" w:line="115" w:lineRule="exact"/>
              <w:rPr>
                <w:rFonts w:ascii="Arial" w:cs="Arial" w:eastAsia="Arial" w:hAnsi="Arial"/>
                <w:sz w:val="12"/>
                <w:szCs w:val="12"/>
                <w:color w:val="0000EE"/>
                <w:w w:val="96"/>
              </w:rPr>
            </w:pPr>
            <w:hyperlink w:anchor="page171">
              <w:r>
                <w:rPr>
                  <w:rFonts w:ascii="Arial" w:cs="Arial" w:eastAsia="Arial" w:hAnsi="Arial"/>
                  <w:sz w:val="12"/>
                  <w:szCs w:val="12"/>
                  <w:color w:val="0000EE"/>
                  <w:w w:val="96"/>
                </w:rPr>
                <w:t>WHERE YOU CAN FIND MORE INFORMATION</w:t>
              </w:r>
            </w:hyperlink>
          </w:p>
        </w:tc>
        <w:tc>
          <w:tcPr>
            <w:tcW w:w="6200" w:type="dxa"/>
            <w:vAlign w:val="bottom"/>
            <w:gridSpan w:val="9"/>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0000EE"/>
            </w:tcBorders>
            <w:gridSpan w:val="2"/>
          </w:tcPr>
          <w:p>
            <w:pPr>
              <w:jc w:val="right"/>
              <w:spacing w:after="0" w:line="115" w:lineRule="exact"/>
              <w:rPr>
                <w:rFonts w:ascii="Arial" w:cs="Arial" w:eastAsia="Arial" w:hAnsi="Arial"/>
                <w:sz w:val="12"/>
                <w:szCs w:val="12"/>
                <w:color w:val="0000EE"/>
                <w:w w:val="79"/>
              </w:rPr>
            </w:pPr>
            <w:hyperlink w:anchor="page171">
              <w:r>
                <w:rPr>
                  <w:rFonts w:ascii="Arial" w:cs="Arial" w:eastAsia="Arial" w:hAnsi="Arial"/>
                  <w:sz w:val="12"/>
                  <w:szCs w:val="12"/>
                  <w:color w:val="0000EE"/>
                  <w:w w:val="79"/>
                </w:rPr>
                <w:t>167</w:t>
              </w:r>
            </w:hyperlink>
          </w:p>
        </w:tc>
      </w:tr>
      <w:tr>
        <w:trPr>
          <w:trHeight w:val="115"/>
        </w:trPr>
        <w:tc>
          <w:tcPr>
            <w:tcW w:w="8740" w:type="dxa"/>
            <w:vAlign w:val="bottom"/>
            <w:gridSpan w:val="25"/>
          </w:tcPr>
          <w:p>
            <w:pPr>
              <w:spacing w:after="0" w:line="115" w:lineRule="exact"/>
              <w:rPr>
                <w:rFonts w:ascii="Arial" w:cs="Arial" w:eastAsia="Arial" w:hAnsi="Arial"/>
                <w:sz w:val="12"/>
                <w:szCs w:val="12"/>
                <w:color w:val="0000EE"/>
              </w:rPr>
            </w:pPr>
            <w:hyperlink w:anchor="page172">
              <w:r>
                <w:rPr>
                  <w:rFonts w:ascii="Arial" w:cs="Arial" w:eastAsia="Arial" w:hAnsi="Arial"/>
                  <w:sz w:val="12"/>
                  <w:szCs w:val="12"/>
                  <w:color w:val="0000EE"/>
                </w:rPr>
                <w:t>INDEX TO CONSOLIDATED FINANCIAL STATEMENTS</w:t>
              </w:r>
            </w:hyperlink>
          </w:p>
        </w:tc>
        <w:tc>
          <w:tcPr>
            <w:tcW w:w="160" w:type="dxa"/>
            <w:vAlign w:val="bottom"/>
          </w:tcPr>
          <w:p>
            <w:pPr>
              <w:spacing w:after="0"/>
              <w:rPr>
                <w:sz w:val="10"/>
                <w:szCs w:val="10"/>
                <w:color w:val="auto"/>
              </w:rPr>
            </w:pPr>
          </w:p>
        </w:tc>
        <w:tc>
          <w:tcPr>
            <w:tcW w:w="180" w:type="dxa"/>
            <w:vAlign w:val="bottom"/>
            <w:gridSpan w:val="2"/>
          </w:tcPr>
          <w:p>
            <w:pPr>
              <w:jc w:val="right"/>
              <w:spacing w:after="0" w:line="115" w:lineRule="exact"/>
              <w:rPr>
                <w:rFonts w:ascii="Arial" w:cs="Arial" w:eastAsia="Arial" w:hAnsi="Arial"/>
                <w:sz w:val="12"/>
                <w:szCs w:val="12"/>
                <w:color w:val="0000EE"/>
                <w:w w:val="88"/>
              </w:rPr>
            </w:pPr>
            <w:hyperlink w:anchor="page172">
              <w:r>
                <w:rPr>
                  <w:rFonts w:ascii="Arial" w:cs="Arial" w:eastAsia="Arial" w:hAnsi="Arial"/>
                  <w:sz w:val="12"/>
                  <w:szCs w:val="12"/>
                  <w:color w:val="0000EE"/>
                  <w:w w:val="88"/>
                </w:rPr>
                <w:t>F-1</w:t>
              </w:r>
            </w:hyperlink>
          </w:p>
        </w:tc>
      </w:tr>
      <w:tr>
        <w:trPr>
          <w:trHeight w:val="142"/>
        </w:trPr>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r>
    </w:tbl>
    <w:p>
      <w:pPr>
        <w:spacing w:after="0" w:line="348" w:lineRule="exact"/>
        <w:rPr>
          <w:sz w:val="20"/>
          <w:szCs w:val="20"/>
          <w:color w:val="auto"/>
        </w:rPr>
      </w:pPr>
    </w:p>
    <w:p>
      <w:pPr>
        <w:ind w:right="180" w:firstLine="325"/>
        <w:spacing w:after="0" w:line="262" w:lineRule="auto"/>
        <w:rPr>
          <w:sz w:val="20"/>
          <w:szCs w:val="20"/>
          <w:color w:val="auto"/>
        </w:rPr>
      </w:pPr>
      <w:r>
        <w:rPr>
          <w:rFonts w:ascii="Arial" w:cs="Arial" w:eastAsia="Arial" w:hAnsi="Arial"/>
          <w:sz w:val="12"/>
          <w:szCs w:val="12"/>
          <w:b w:val="1"/>
          <w:bCs w:val="1"/>
          <w:color w:val="auto"/>
        </w:rPr>
        <w:t>Through and including November 5, 2017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79375</wp:posOffset>
            </wp:positionV>
            <wp:extent cx="14014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1445" cy="57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firstLine="326"/>
        <w:spacing w:after="0" w:line="264" w:lineRule="auto"/>
        <w:rPr>
          <w:sz w:val="20"/>
          <w:szCs w:val="20"/>
          <w:color w:val="auto"/>
        </w:rPr>
      </w:pPr>
      <w:r>
        <w:rPr>
          <w:rFonts w:ascii="Arial" w:cs="Arial" w:eastAsia="Arial" w:hAnsi="Arial"/>
          <w:sz w:val="11"/>
          <w:szCs w:val="11"/>
          <w:color w:val="auto"/>
        </w:rPr>
        <w:t>Neither we, the selling stockholders, nor the underwriters have authorized anyone to provide you with any information or to make any representations other than those contained in this prospectus or in any free writing prospectuses we have prepared. We, the selling stockholders, and the underwriters take no responsibility for, and provide no assurance about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28" w:lineRule="exact"/>
        <w:rPr>
          <w:sz w:val="20"/>
          <w:szCs w:val="20"/>
          <w:color w:val="auto"/>
        </w:rPr>
      </w:pPr>
    </w:p>
    <w:p>
      <w:pPr>
        <w:ind w:right="180" w:firstLine="326"/>
        <w:spacing w:after="0" w:line="237" w:lineRule="auto"/>
        <w:rPr>
          <w:sz w:val="20"/>
          <w:szCs w:val="20"/>
          <w:color w:val="auto"/>
        </w:rPr>
      </w:pPr>
      <w:r>
        <w:rPr>
          <w:rFonts w:ascii="Arial" w:cs="Arial" w:eastAsia="Arial" w:hAnsi="Arial"/>
          <w:sz w:val="12"/>
          <w:szCs w:val="12"/>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142" w:right="3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299325" cy="3084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308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PROSPECTUS SUMMARY</w:t>
      </w:r>
    </w:p>
    <w:p>
      <w:pPr>
        <w:spacing w:after="0" w:line="143" w:lineRule="exact"/>
        <w:rPr>
          <w:sz w:val="20"/>
          <w:szCs w:val="20"/>
          <w:color w:val="auto"/>
        </w:rPr>
      </w:pPr>
    </w:p>
    <w:p>
      <w:pPr>
        <w:ind w:left="140" w:right="80" w:firstLine="325"/>
        <w:spacing w:after="0" w:line="243" w:lineRule="auto"/>
        <w:rPr>
          <w:sz w:val="20"/>
          <w:szCs w:val="20"/>
          <w:color w:val="auto"/>
        </w:rPr>
      </w:pPr>
      <w:r>
        <w:rPr>
          <w:rFonts w:ascii="Arial" w:cs="Arial" w:eastAsia="Arial" w:hAnsi="Arial"/>
          <w:sz w:val="12"/>
          <w:szCs w:val="12"/>
          <w:i w:val="1"/>
          <w:iCs w:val="1"/>
          <w:color w:val="auto"/>
        </w:rPr>
        <w:t>This summary highlights information appearing elsewhere in this prospectus. This summary does not contain all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related notes included elsewhere in this prospectus, before making any investment decision. Unless the context otherwise requires, we use the terms "CarGurus," the "company," "we," "us," and "our" in this prospectus to refer to CarGurus, Inc. and, where appropriate, our consolidated subsidiaries.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Business</w:t>
      </w:r>
    </w:p>
    <w:p>
      <w:pPr>
        <w:spacing w:after="0" w:line="155" w:lineRule="exact"/>
        <w:rPr>
          <w:sz w:val="20"/>
          <w:szCs w:val="20"/>
          <w:color w:val="auto"/>
        </w:rPr>
      </w:pPr>
    </w:p>
    <w:p>
      <w:pPr>
        <w:ind w:left="140" w:firstLine="325"/>
        <w:spacing w:after="0" w:line="236" w:lineRule="auto"/>
        <w:rPr>
          <w:sz w:val="20"/>
          <w:szCs w:val="20"/>
          <w:color w:val="auto"/>
        </w:rPr>
      </w:pPr>
      <w:r>
        <w:rPr>
          <w:rFonts w:ascii="Arial" w:cs="Arial" w:eastAsia="Arial" w:hAnsi="Arial"/>
          <w:sz w:val="12"/>
          <w:szCs w:val="12"/>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users with unbiased third-party validation on pricing and dealer reputation as well as other information that aids them in finding "Great Deals from Great Dealers." As of June 30, 2017, we had an active dealer network of over 40,000 dealers, and our selection of over 5.4 million car listings is the largest number of car listings available on any of the major U.S. online automotive marketplaces. In addition to the United States, we operate online marketplaces in Canada, the United Kingdom, and Germany.</w:t>
      </w:r>
    </w:p>
    <w:p>
      <w:pPr>
        <w:spacing w:after="0" w:line="141" w:lineRule="exact"/>
        <w:rPr>
          <w:sz w:val="20"/>
          <w:szCs w:val="20"/>
          <w:color w:val="auto"/>
        </w:rPr>
      </w:pPr>
    </w:p>
    <w:p>
      <w:pPr>
        <w:ind w:left="140" w:right="20" w:firstLine="319"/>
        <w:spacing w:after="0" w:line="236" w:lineRule="auto"/>
        <w:rPr>
          <w:sz w:val="20"/>
          <w:szCs w:val="20"/>
          <w:color w:val="auto"/>
        </w:rPr>
      </w:pPr>
      <w:r>
        <w:rPr>
          <w:rFonts w:ascii="Arial" w:cs="Arial" w:eastAsia="Arial" w:hAnsi="Arial"/>
          <w:sz w:val="12"/>
          <w:szCs w:val="12"/>
          <w:color w:val="auto"/>
        </w:rPr>
        <w:t>A core principle of our marketplace is unbiased transparency. For consumers considering used vehicles, we aggregate vehicle inventory from dealers and apply our proprietary analysis to generate a Deal Rating as either: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any given vehicle in a local market, and Dealer Rating, a measure of a dealer's reputation as determined by reviews of that dealer from our user community. By sorting organic search results based on a used car's Deal Rating, we enable consumers to find the most relevant car for their needs.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41" w:lineRule="exact"/>
        <w:rPr>
          <w:sz w:val="20"/>
          <w:szCs w:val="20"/>
          <w:color w:val="auto"/>
        </w:rPr>
      </w:pPr>
    </w:p>
    <w:p>
      <w:pPr>
        <w:ind w:left="140" w:firstLine="319"/>
        <w:spacing w:after="0" w:line="237" w:lineRule="auto"/>
        <w:rPr>
          <w:sz w:val="20"/>
          <w:szCs w:val="20"/>
          <w:color w:val="auto"/>
        </w:rPr>
      </w:pPr>
      <w:r>
        <w:rPr>
          <w:rFonts w:ascii="Arial" w:cs="Arial" w:eastAsia="Arial" w:hAnsi="Arial"/>
          <w:sz w:val="12"/>
          <w:szCs w:val="12"/>
          <w:color w:val="auto"/>
        </w:rPr>
        <w:t>According to Google Analytics, in the second quarter of 2017, we had approximately 61 million average monthly sessions in the United States, up from approximately 45 million during the same period in 2016. According to comScore, we have become the most visited online automotive marketplace in the United States, and we have the largest mobile audience, with over 78% of our second quarter 2017 monthly unique visitors accessing our marketplace from mobile devices. Our focus on providing unbiased transparency for consumers has also created an engaged user community. According to comScore, during the second quarter of 2017, visitors returned to our site 2.4 times as often as any other major U.S. online automotive marketplace, up from 1.8 times as often in the second quarter of 2016.</w:t>
      </w:r>
    </w:p>
    <w:p>
      <w:pPr>
        <w:spacing w:after="0" w:line="139" w:lineRule="exact"/>
        <w:rPr>
          <w:sz w:val="20"/>
          <w:szCs w:val="20"/>
          <w:color w:val="auto"/>
        </w:rPr>
      </w:pPr>
    </w:p>
    <w:p>
      <w:pPr>
        <w:ind w:left="140" w:right="120" w:firstLine="325"/>
        <w:spacing w:after="0" w:line="237" w:lineRule="auto"/>
        <w:rPr>
          <w:sz w:val="20"/>
          <w:szCs w:val="20"/>
          <w:color w:val="auto"/>
        </w:rPr>
      </w:pPr>
      <w:r>
        <w:rPr>
          <w:rFonts w:ascii="Arial" w:cs="Arial" w:eastAsia="Arial" w:hAnsi="Arial"/>
          <w:sz w:val="12"/>
          <w:szCs w:val="12"/>
          <w:color w:val="auto"/>
        </w:rPr>
        <w:t>Our large, engaged, and predominantly mobile user base presents an attractive audience of in-market consumers for our dealers. By connecting dealers with more informed consumers, we believe we provide dealers with an efficient customer acquisition channel and attractive returns on their marketing spend with us. Dealers can list their inventory in our marketplace for free with our Basic Listing product or with a paid subscription to our Enhanced or Featured Listing products.</w:t>
      </w: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42" w:right="35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2998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299847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0"/>
        <w:spacing w:after="0" w:line="237" w:lineRule="auto"/>
        <w:rPr>
          <w:sz w:val="20"/>
          <w:szCs w:val="20"/>
          <w:color w:val="auto"/>
        </w:rPr>
      </w:pPr>
      <w:r>
        <w:rPr>
          <w:rFonts w:ascii="Arial" w:cs="Arial" w:eastAsia="Arial" w:hAnsi="Arial"/>
          <w:sz w:val="12"/>
          <w:szCs w:val="12"/>
          <w:color w:val="auto"/>
        </w:rPr>
        <w:t>Dealers with free listings receive anonymized email connections and access to a subset of the tools on our Dealer Dashboard at no cost. Dealers with a paid subscription receive connections to consumers that are not anonymous and can be made through a wider variety of methods, including phone calls, email, managed text and chat, links to the dealer's website, and map directions to dealerships. In addition, dealers subscribed to our Enhanced and Featured Listing products gain full access to our Dealer Dashboard and are also able to display their dealership information to gain brand recognition, which promotes walk-in traffic to the dealer. Our success with dealers is evidenced by the 66% growth in the number of paying dealers in our U.S. marketplace from 2015 to 2016.</w:t>
      </w:r>
    </w:p>
    <w:p>
      <w:pPr>
        <w:spacing w:after="0" w:line="139" w:lineRule="exact"/>
        <w:rPr>
          <w:sz w:val="20"/>
          <w:szCs w:val="20"/>
          <w:color w:val="auto"/>
        </w:rPr>
      </w:pPr>
    </w:p>
    <w:p>
      <w:pPr>
        <w:ind w:left="140" w:right="20" w:firstLine="325"/>
        <w:spacing w:after="0" w:line="237" w:lineRule="auto"/>
        <w:rPr>
          <w:sz w:val="20"/>
          <w:szCs w:val="20"/>
          <w:color w:val="auto"/>
        </w:rPr>
      </w:pPr>
      <w:r>
        <w:rPr>
          <w:rFonts w:ascii="Arial" w:cs="Arial" w:eastAsia="Arial" w:hAnsi="Arial"/>
          <w:sz w:val="12"/>
          <w:szCs w:val="12"/>
          <w:color w:val="auto"/>
        </w:rPr>
        <w:t>Our scaled online marketplace model drives powerful network effects. The industry-leading inventory selection offered by our dealers attracts a large and engaged consumer audience. The value of robust connections to this audience incentivizes dealers to purchase our Enhanced or Featured Listing products. Having more paying dealers provides consumers with more dealer information and methods to contact them. More consumers and connections drives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139" w:lineRule="exact"/>
        <w:rPr>
          <w:sz w:val="20"/>
          <w:szCs w:val="20"/>
          <w:color w:val="auto"/>
        </w:rPr>
      </w:pPr>
    </w:p>
    <w:p>
      <w:pPr>
        <w:ind w:left="140" w:firstLine="325"/>
        <w:spacing w:after="0" w:line="236" w:lineRule="auto"/>
        <w:rPr>
          <w:sz w:val="20"/>
          <w:szCs w:val="20"/>
          <w:color w:val="auto"/>
        </w:rPr>
      </w:pPr>
      <w:r>
        <w:rPr>
          <w:rFonts w:ascii="Arial" w:cs="Arial" w:eastAsia="Arial" w:hAnsi="Arial"/>
          <w:sz w:val="12"/>
          <w:szCs w:val="12"/>
          <w:color w:val="auto"/>
        </w:rPr>
        <w:t>We generate marketplace subscription revenue from dealers through listing and display advertising subscriptions and advertising revenue from auto manufacturers and other auto-related brand advertisers. Our rapid revenue growth and financial performance over the last several years exemplifies the strength of our marketplace. In 2016, we generated revenue of $198.1 million, a 101% increase from $98.6 million of revenue in 2015. Our revenue for the six months ended June 30, 2017 was $143.3 million, a 70% increase from $84.2 million of revenue in the six months ended June 30, 2016. In 2016, we generated net income of $6.5 million and our Adjusted EBITDA was $11.0 million, compared to a net loss of $1.6 million and Adjusted EBITDA of $(0.4) million in 2015. For the six months ended June 30, 2017, we generated net income of $8.6 million and Adjusted EBITDA of $14.1 million, compared to net income of $0.5 million and Adjusted EBITDA of $1.7 million for the six months ended June 30, 2016. See "Selected Consolidated Financial and Other Data — Adjusted EBITDA" for more information regarding our use of Adjusted EBITDA and a reconciliation of Adjusted EBITDA to our net income (loss).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Industry Dynamics and Market Opportunity</w:t>
      </w:r>
    </w:p>
    <w:p>
      <w:pPr>
        <w:spacing w:after="0" w:line="141" w:lineRule="exact"/>
        <w:rPr>
          <w:sz w:val="20"/>
          <w:szCs w:val="20"/>
          <w:color w:val="auto"/>
        </w:rPr>
      </w:pPr>
    </w:p>
    <w:p>
      <w:pPr>
        <w:ind w:left="140" w:right="100" w:firstLine="325"/>
        <w:spacing w:after="0" w:line="262" w:lineRule="auto"/>
        <w:rPr>
          <w:sz w:val="20"/>
          <w:szCs w:val="20"/>
          <w:color w:val="auto"/>
        </w:rPr>
      </w:pPr>
      <w:r>
        <w:rPr>
          <w:rFonts w:ascii="Arial" w:cs="Arial" w:eastAsia="Arial" w:hAnsi="Arial"/>
          <w:sz w:val="12"/>
          <w:szCs w:val="12"/>
          <w:b w:val="1"/>
          <w:bCs w:val="1"/>
          <w:i w:val="1"/>
          <w:iCs w:val="1"/>
          <w:color w:val="auto"/>
        </w:rPr>
        <w:t xml:space="preserve">Significant Purchasing Decision for Consumers. </w:t>
      </w:r>
      <w:r>
        <w:rPr>
          <w:rFonts w:ascii="Arial" w:cs="Arial" w:eastAsia="Arial" w:hAnsi="Arial"/>
          <w:sz w:val="12"/>
          <w:szCs w:val="12"/>
          <w:color w:val="auto"/>
        </w:rPr>
        <w:t>A car is often the second largest purchase a consumer will make, second only to his or her home. Traditionally, the process of finding the right car to buy,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selecting the right dealer or seller to buy it from, and deciding how much to spend, has been complex and intimidating.</w:t>
      </w:r>
    </w:p>
    <w:p>
      <w:pPr>
        <w:spacing w:after="0" w:line="113" w:lineRule="exact"/>
        <w:rPr>
          <w:sz w:val="20"/>
          <w:szCs w:val="20"/>
          <w:color w:val="auto"/>
        </w:rPr>
      </w:pPr>
    </w:p>
    <w:p>
      <w:pPr>
        <w:ind w:left="140" w:right="100" w:firstLine="325"/>
        <w:spacing w:after="0" w:line="241" w:lineRule="auto"/>
        <w:rPr>
          <w:sz w:val="20"/>
          <w:szCs w:val="20"/>
          <w:color w:val="auto"/>
        </w:rPr>
      </w:pPr>
      <w:r>
        <w:rPr>
          <w:rFonts w:ascii="Arial" w:cs="Arial" w:eastAsia="Arial" w:hAnsi="Arial"/>
          <w:sz w:val="12"/>
          <w:szCs w:val="12"/>
          <w:b w:val="1"/>
          <w:bCs w:val="1"/>
          <w:i w:val="1"/>
          <w:iCs w:val="1"/>
          <w:color w:val="auto"/>
        </w:rPr>
        <w:t xml:space="preserve">Massive U.S. Automotive Market. </w:t>
      </w:r>
      <w:r>
        <w:rPr>
          <w:rFonts w:ascii="Arial" w:cs="Arial" w:eastAsia="Arial" w:hAnsi="Arial"/>
          <w:sz w:val="12"/>
          <w:szCs w:val="12"/>
          <w:color w:val="auto"/>
        </w:rPr>
        <w:t>The automotive industry is one of the largest in the United States. Borrell Associates estimates that U.S. retail automotive sales reached $1.3 trillion in 2016, with dealers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accounting for over 85% of all cars sold. According to these estimates, there are approximately 43,000 dealers in the United States, including over 16,000 franchise dealers affiliated with an automotive brand that often sell both new and used cars, and over 26,000 independent dealers that sell only used cars. These U.S. dealers sold approximately 17 million new cars and 44 million used cars in 2016, while peer-to-peer transactions by individuals accounted for approximately 11 million used cars sold. The same report estimates that the U.S. automotive industry spent over $37 billion on advertising in 2016, $23 billion of which was spent by dealers.</w:t>
      </w:r>
    </w:p>
    <w:p>
      <w:pPr>
        <w:spacing w:after="0" w:line="127" w:lineRule="exact"/>
        <w:rPr>
          <w:sz w:val="20"/>
          <w:szCs w:val="20"/>
          <w:color w:val="auto"/>
        </w:rPr>
      </w:pPr>
    </w:p>
    <w:p>
      <w:pPr>
        <w:ind w:left="140" w:right="260" w:firstLine="325"/>
        <w:spacing w:after="0" w:line="262" w:lineRule="auto"/>
        <w:rPr>
          <w:sz w:val="20"/>
          <w:szCs w:val="20"/>
          <w:color w:val="auto"/>
        </w:rPr>
      </w:pPr>
      <w:r>
        <w:rPr>
          <w:rFonts w:ascii="Arial" w:cs="Arial" w:eastAsia="Arial" w:hAnsi="Arial"/>
          <w:sz w:val="12"/>
          <w:szCs w:val="12"/>
          <w:b w:val="1"/>
          <w:bCs w:val="1"/>
          <w:i w:val="1"/>
          <w:iCs w:val="1"/>
          <w:color w:val="auto"/>
        </w:rPr>
        <w:t xml:space="preserve">Shift from Offline to Online. </w:t>
      </w:r>
      <w:r>
        <w:rPr>
          <w:rFonts w:ascii="Arial" w:cs="Arial" w:eastAsia="Arial" w:hAnsi="Arial"/>
          <w:sz w:val="12"/>
          <w:szCs w:val="12"/>
          <w:color w:val="auto"/>
        </w:rPr>
        <w:t>Consumers are increasingly using the Internet to search for cars before entering a dealership. According to JD Power &amp; Associates, the average car buyer spends 14 hours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researching cars online prior to making a purchase. To respond to this trend, the</w:t>
      </w: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142" w:right="3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621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36214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0"/>
        <w:spacing w:after="0" w:line="239" w:lineRule="auto"/>
        <w:rPr>
          <w:sz w:val="20"/>
          <w:szCs w:val="20"/>
          <w:color w:val="auto"/>
        </w:rPr>
      </w:pPr>
      <w:r>
        <w:rPr>
          <w:rFonts w:ascii="Arial" w:cs="Arial" w:eastAsia="Arial" w:hAnsi="Arial"/>
          <w:sz w:val="12"/>
          <w:szCs w:val="12"/>
          <w:color w:val="auto"/>
        </w:rPr>
        <w:t>U.S. automotive industry has increasingly allocated more marketing spend to online channels. According to Borrell Associates estimates, 57% of the U.S. automotive marketing spend was on online channels in 2016, up from 32% in 2011, and it is expected to increase to 70% by 2021.</w:t>
      </w:r>
    </w:p>
    <w:p>
      <w:pPr>
        <w:spacing w:after="0" w:line="125" w:lineRule="exact"/>
        <w:rPr>
          <w:sz w:val="20"/>
          <w:szCs w:val="20"/>
          <w:color w:val="auto"/>
        </w:rPr>
      </w:pPr>
    </w:p>
    <w:p>
      <w:pPr>
        <w:ind w:left="140" w:right="100" w:firstLine="325"/>
        <w:spacing w:after="0" w:line="262" w:lineRule="auto"/>
        <w:rPr>
          <w:sz w:val="20"/>
          <w:szCs w:val="20"/>
          <w:color w:val="auto"/>
        </w:rPr>
      </w:pPr>
      <w:r>
        <w:rPr>
          <w:rFonts w:ascii="Arial" w:cs="Arial" w:eastAsia="Arial" w:hAnsi="Arial"/>
          <w:sz w:val="12"/>
          <w:szCs w:val="12"/>
          <w:b w:val="1"/>
          <w:bCs w:val="1"/>
          <w:i w:val="1"/>
          <w:iCs w:val="1"/>
          <w:color w:val="auto"/>
        </w:rPr>
        <w:t xml:space="preserve">Increasing Importance of Mobile Devices. </w:t>
      </w:r>
      <w:r>
        <w:rPr>
          <w:rFonts w:ascii="Arial" w:cs="Arial" w:eastAsia="Arial" w:hAnsi="Arial"/>
          <w:sz w:val="12"/>
          <w:szCs w:val="12"/>
          <w:color w:val="auto"/>
        </w:rPr>
        <w:t>Consumers are increasingly using their mobile devices to search for vehicles. A 2017 Google study estimates that as much as 71% of a consumer's interactions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dealers, brands, and third-party sites during the car buying process occurred on mobile devices.</w:t>
      </w:r>
    </w:p>
    <w:p>
      <w:pPr>
        <w:spacing w:after="0" w:line="113" w:lineRule="exact"/>
        <w:rPr>
          <w:sz w:val="20"/>
          <w:szCs w:val="20"/>
          <w:color w:val="auto"/>
        </w:rPr>
      </w:pPr>
    </w:p>
    <w:p>
      <w:pPr>
        <w:ind w:left="140" w:firstLine="325"/>
        <w:spacing w:after="0" w:line="248" w:lineRule="auto"/>
        <w:rPr>
          <w:sz w:val="20"/>
          <w:szCs w:val="20"/>
          <w:color w:val="auto"/>
        </w:rPr>
      </w:pPr>
      <w:r>
        <w:rPr>
          <w:rFonts w:ascii="Arial" w:cs="Arial" w:eastAsia="Arial" w:hAnsi="Arial"/>
          <w:sz w:val="12"/>
          <w:szCs w:val="12"/>
          <w:b w:val="1"/>
          <w:bCs w:val="1"/>
          <w:i w:val="1"/>
          <w:iCs w:val="1"/>
          <w:color w:val="auto"/>
        </w:rPr>
        <w:t xml:space="preserve">Highly Fragmented, Local Market. </w:t>
      </w:r>
      <w:r>
        <w:rPr>
          <w:rFonts w:ascii="Arial" w:cs="Arial" w:eastAsia="Arial" w:hAnsi="Arial"/>
          <w:sz w:val="12"/>
          <w:szCs w:val="12"/>
          <w:color w:val="auto"/>
        </w:rPr>
        <w:t>The market for new and used car sales is highly fragmented and local, making it competitive for dealers to find local buyers. A dealer's inventory may change daily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speed at which a dealer turns its inventory is a key driver of its profitability. Additionally, unlike new cars, no two used cars are alike, making it challenging for dealers to find the right buyer for a specific vehicle in a cost-efficient manner.</w:t>
      </w:r>
    </w:p>
    <w:p>
      <w:pPr>
        <w:spacing w:after="0" w:line="122" w:lineRule="exact"/>
        <w:rPr>
          <w:sz w:val="20"/>
          <w:szCs w:val="20"/>
          <w:color w:val="auto"/>
        </w:rPr>
      </w:pPr>
    </w:p>
    <w:p>
      <w:pPr>
        <w:ind w:left="140" w:right="140" w:firstLine="325"/>
        <w:spacing w:after="0" w:line="248" w:lineRule="auto"/>
        <w:rPr>
          <w:sz w:val="20"/>
          <w:szCs w:val="20"/>
          <w:color w:val="auto"/>
        </w:rPr>
      </w:pPr>
      <w:r>
        <w:rPr>
          <w:rFonts w:ascii="Arial" w:cs="Arial" w:eastAsia="Arial" w:hAnsi="Arial"/>
          <w:sz w:val="12"/>
          <w:szCs w:val="12"/>
          <w:b w:val="1"/>
          <w:bCs w:val="1"/>
          <w:i w:val="1"/>
          <w:iCs w:val="1"/>
          <w:color w:val="auto"/>
        </w:rPr>
        <w:t xml:space="preserve">Large International Automotive Markets with Similar Dynamics as the United States. </w:t>
      </w:r>
      <w:r>
        <w:rPr>
          <w:rFonts w:ascii="Arial" w:cs="Arial" w:eastAsia="Arial" w:hAnsi="Arial"/>
          <w:sz w:val="12"/>
          <w:szCs w:val="12"/>
          <w:color w:val="auto"/>
        </w:rPr>
        <w:t>Much like in the United States, dealers represent a critical part of international automotive markets. It is estimated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in 2016, there were approximately 5,800 dealers in Canada and 4.9 million new and used cars sold; 11,700 dealers in the United Kingdom and 10.9 million new and used cars sold; and 21,000 dealers in Germany and 10.8 million new and used cars sold.</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Consumer and Dealer Challenges</w:t>
      </w:r>
    </w:p>
    <w:p>
      <w:pPr>
        <w:spacing w:after="0" w:line="141" w:lineRule="exact"/>
        <w:rPr>
          <w:sz w:val="20"/>
          <w:szCs w:val="20"/>
          <w:color w:val="auto"/>
        </w:rPr>
      </w:pPr>
    </w:p>
    <w:p>
      <w:pPr>
        <w:ind w:left="140" w:firstLine="325"/>
        <w:spacing w:after="0" w:line="244" w:lineRule="auto"/>
        <w:rPr>
          <w:sz w:val="20"/>
          <w:szCs w:val="20"/>
          <w:color w:val="auto"/>
        </w:rPr>
      </w:pPr>
      <w:r>
        <w:rPr>
          <w:rFonts w:ascii="Arial" w:cs="Arial" w:eastAsia="Arial" w:hAnsi="Arial"/>
          <w:sz w:val="12"/>
          <w:szCs w:val="12"/>
          <w:b w:val="1"/>
          <w:bCs w:val="1"/>
          <w:i w:val="1"/>
          <w:iCs w:val="1"/>
          <w:color w:val="auto"/>
        </w:rPr>
        <w:t xml:space="preserve">Consumer Challenges. </w:t>
      </w:r>
      <w:r>
        <w:rPr>
          <w:rFonts w:ascii="Arial" w:cs="Arial" w:eastAsia="Arial" w:hAnsi="Arial"/>
          <w:sz w:val="12"/>
          <w:szCs w:val="12"/>
          <w:color w:val="auto"/>
        </w:rPr>
        <w:t>Historically, the lack of unbiased, transparent information has made it difficult for consumers to effectively compare vehicles and find the vehicle that best suits their needs.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consumers searching for used cars, every car is unique, and it is difficult to aggregate the relevant inventory of available used cars across dealers. Generally, dealers also have had more information about car prices than consumers do, as consumers have had limited resources to determine an appropriate price. Selecting the right dealer has also been challenging for consumers as dealer reputations have historically been based primarily on word-of-mouth.</w:t>
      </w:r>
    </w:p>
    <w:p>
      <w:pPr>
        <w:spacing w:after="0" w:line="123" w:lineRule="exact"/>
        <w:rPr>
          <w:sz w:val="20"/>
          <w:szCs w:val="20"/>
          <w:color w:val="auto"/>
        </w:rPr>
      </w:pPr>
    </w:p>
    <w:p>
      <w:pPr>
        <w:jc w:val="both"/>
        <w:ind w:left="140" w:right="60" w:firstLine="325"/>
        <w:spacing w:after="0" w:line="248" w:lineRule="auto"/>
        <w:rPr>
          <w:sz w:val="20"/>
          <w:szCs w:val="20"/>
          <w:color w:val="auto"/>
        </w:rPr>
      </w:pPr>
      <w:r>
        <w:rPr>
          <w:rFonts w:ascii="Arial" w:cs="Arial" w:eastAsia="Arial" w:hAnsi="Arial"/>
          <w:sz w:val="12"/>
          <w:szCs w:val="12"/>
          <w:b w:val="1"/>
          <w:bCs w:val="1"/>
          <w:i w:val="1"/>
          <w:iCs w:val="1"/>
          <w:color w:val="auto"/>
        </w:rPr>
        <w:t xml:space="preserve">Dealer Challenges. </w:t>
      </w:r>
      <w:r>
        <w:rPr>
          <w:rFonts w:ascii="Arial" w:cs="Arial" w:eastAsia="Arial" w:hAnsi="Arial"/>
          <w:sz w:val="12"/>
          <w:szCs w:val="12"/>
          <w:color w:val="auto"/>
        </w:rPr>
        <w:t>The economics of dealerships depend largely on sales volume, gross margin, and customer acquisition efficiency. To achieve a high return on their marketing investments, dealers must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find in-market consumers. Traditional marketing channels, including television, radio, and newspaper, can effectively target locally but are inefficient in reaching the small percentage of consumers who are actively in the market to buy a car. In addition, dealers need to find ways to manage constantly changing inventory and adjust pricing strategies to adapt to frequently changing market conditions.</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Approach</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Why Consumers Choose Us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believe that our marketplace offers the best online automotive marketplace experience for consumers, distinguished by the following:</w:t>
      </w:r>
    </w:p>
    <w:p>
      <w:pPr>
        <w:spacing w:after="0" w:line="138" w:lineRule="exact"/>
        <w:rPr>
          <w:sz w:val="20"/>
          <w:szCs w:val="20"/>
          <w:color w:val="auto"/>
        </w:rPr>
      </w:pPr>
    </w:p>
    <w:p>
      <w:pPr>
        <w:ind w:left="860" w:right="80" w:hanging="352"/>
        <w:spacing w:after="0" w:line="247" w:lineRule="auto"/>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 xml:space="preserve">Largest Inventory Selection. </w:t>
      </w:r>
      <w:r>
        <w:rPr>
          <w:rFonts w:ascii="Arial" w:cs="Arial" w:eastAsia="Arial" w:hAnsi="Arial"/>
          <w:sz w:val="12"/>
          <w:szCs w:val="12"/>
          <w:color w:val="auto"/>
        </w:rPr>
        <w:t>As of June 30, 2017, we had an active dealer network of over 40,000 dealers, and our selection of over 5.4 million car listings is the largest number of car listings available</w:t>
      </w:r>
      <w:r>
        <w:rPr>
          <w:rFonts w:ascii="Arial" w:cs="Arial" w:eastAsia="Arial" w:hAnsi="Arial"/>
          <w:sz w:val="12"/>
          <w:szCs w:val="12"/>
          <w:i w:val="1"/>
          <w:iCs w:val="1"/>
          <w:color w:val="auto"/>
        </w:rPr>
        <w:t xml:space="preserve"> </w:t>
      </w:r>
      <w:r>
        <w:rPr>
          <w:rFonts w:ascii="Arial" w:cs="Arial" w:eastAsia="Arial" w:hAnsi="Arial"/>
          <w:sz w:val="12"/>
          <w:szCs w:val="12"/>
          <w:color w:val="auto"/>
        </w:rPr>
        <w:t>on any of the major U.S. online automotive marketplaces. We define our active dealer network as consisting of all dealers to which we connected a user about a listing during the ninety-day period ending on the applicable measurement date.</w:t>
      </w:r>
    </w:p>
    <w:p>
      <w:pPr>
        <w:spacing w:after="0" w:line="114" w:lineRule="exact"/>
        <w:rPr>
          <w:rFonts w:ascii="Arial" w:cs="Arial" w:eastAsia="Arial" w:hAnsi="Arial"/>
          <w:sz w:val="12"/>
          <w:szCs w:val="12"/>
          <w:color w:val="auto"/>
        </w:rPr>
      </w:pPr>
    </w:p>
    <w:p>
      <w:pPr>
        <w:ind w:left="860" w:right="180" w:hanging="352"/>
        <w:spacing w:after="0" w:line="259" w:lineRule="auto"/>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 xml:space="preserve">Trust and Unbiased Transparency. </w:t>
      </w:r>
      <w:r>
        <w:rPr>
          <w:rFonts w:ascii="Arial" w:cs="Arial" w:eastAsia="Arial" w:hAnsi="Arial"/>
          <w:sz w:val="12"/>
          <w:szCs w:val="12"/>
          <w:color w:val="auto"/>
        </w:rPr>
        <w:t>Used cars identified through searches in our marketplace are sorted by, and shown with, a Deal Rating, which is determined principally by our proprietary IMV and</w:t>
      </w:r>
      <w:r>
        <w:rPr>
          <w:rFonts w:ascii="Arial" w:cs="Arial" w:eastAsia="Arial" w:hAnsi="Arial"/>
          <w:sz w:val="12"/>
          <w:szCs w:val="12"/>
          <w:i w:val="1"/>
          <w:iCs w:val="1"/>
          <w:color w:val="auto"/>
        </w:rPr>
        <w:t xml:space="preserve"> </w:t>
      </w:r>
      <w:r>
        <w:rPr>
          <w:rFonts w:ascii="Arial" w:cs="Arial" w:eastAsia="Arial" w:hAnsi="Arial"/>
          <w:sz w:val="12"/>
          <w:szCs w:val="12"/>
          <w:color w:val="auto"/>
        </w:rPr>
        <w:t>Dealer Rating. These features, coupled with information historically not</w:t>
      </w: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142" w:right="3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272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32727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widely available, provide consumers with unbiased, transparent information with which to make their purchasing decision.</w:t>
      </w:r>
    </w:p>
    <w:p>
      <w:pPr>
        <w:spacing w:after="0" w:line="138" w:lineRule="exact"/>
        <w:rPr>
          <w:sz w:val="20"/>
          <w:szCs w:val="20"/>
          <w:color w:val="auto"/>
        </w:rPr>
      </w:pPr>
    </w:p>
    <w:p>
      <w:pPr>
        <w:ind w:left="860" w:right="340" w:hanging="352"/>
        <w:spacing w:after="0" w:line="259" w:lineRule="auto"/>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Intuitive Search Results. </w:t>
      </w:r>
      <w:r>
        <w:rPr>
          <w:rFonts w:ascii="Arial" w:cs="Arial" w:eastAsia="Arial" w:hAnsi="Arial"/>
          <w:sz w:val="12"/>
          <w:szCs w:val="12"/>
          <w:color w:val="auto"/>
        </w:rPr>
        <w:t>For used car shoppers, our organic search function prioritizes results by a car's Deal Rating, which we believe is most relevant to a consumer's decision. In contrast, paid-inclusion automotive marketplaces award dealers preferential listing placement based on how much a dealer pays.</w:t>
      </w:r>
    </w:p>
    <w:p>
      <w:pPr>
        <w:spacing w:after="0" w:line="107" w:lineRule="exact"/>
        <w:rPr>
          <w:rFonts w:ascii="Arial" w:cs="Arial" w:eastAsia="Arial" w:hAnsi="Arial"/>
          <w:sz w:val="12"/>
          <w:szCs w:val="12"/>
          <w:color w:val="auto"/>
        </w:rPr>
      </w:pPr>
    </w:p>
    <w:p>
      <w:pPr>
        <w:jc w:val="both"/>
        <w:ind w:left="860" w:hanging="352"/>
        <w:spacing w:after="0" w:line="304" w:lineRule="auto"/>
        <w:tabs>
          <w:tab w:leader="none" w:pos="86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Robust, Mobile-Focused Experience. </w:t>
      </w:r>
      <w:r>
        <w:rPr>
          <w:rFonts w:ascii="Arial" w:cs="Arial" w:eastAsia="Arial" w:hAnsi="Arial"/>
          <w:sz w:val="11"/>
          <w:szCs w:val="11"/>
          <w:color w:val="auto"/>
        </w:rPr>
        <w:t>We have designed our marketplace to appeal to mobile users by developing our products with a mobile-first mindset. This approach has resulted in over 78% of our</w:t>
      </w:r>
      <w:r>
        <w:rPr>
          <w:rFonts w:ascii="Arial" w:cs="Arial" w:eastAsia="Arial" w:hAnsi="Arial"/>
          <w:sz w:val="11"/>
          <w:szCs w:val="11"/>
          <w:i w:val="1"/>
          <w:iCs w:val="1"/>
          <w:color w:val="auto"/>
        </w:rPr>
        <w:t xml:space="preserve"> </w:t>
      </w:r>
      <w:r>
        <w:rPr>
          <w:rFonts w:ascii="Arial" w:cs="Arial" w:eastAsia="Arial" w:hAnsi="Arial"/>
          <w:sz w:val="11"/>
          <w:szCs w:val="11"/>
          <w:color w:val="auto"/>
        </w:rPr>
        <w:t>monthly unique visitors accessing our marketplace from mobile devices in the second quarter of 2017, and a 43% growth in our average monthly mobile visits from 2015 to 2016, according to comScore.</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Why Dealers Choose Us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believe that dealers choose us for the following reasons:</w:t>
      </w:r>
    </w:p>
    <w:p>
      <w:pPr>
        <w:spacing w:after="0" w:line="129" w:lineRule="exact"/>
        <w:rPr>
          <w:sz w:val="20"/>
          <w:szCs w:val="20"/>
          <w:color w:val="auto"/>
        </w:rPr>
      </w:pPr>
    </w:p>
    <w:p>
      <w:pPr>
        <w:ind w:left="860" w:right="80" w:hanging="352"/>
        <w:spacing w:after="0" w:line="259" w:lineRule="auto"/>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Attractive Return on Investment. </w:t>
      </w:r>
      <w:r>
        <w:rPr>
          <w:rFonts w:ascii="Arial" w:cs="Arial" w:eastAsia="Arial" w:hAnsi="Arial"/>
          <w:sz w:val="12"/>
          <w:szCs w:val="12"/>
          <w:color w:val="auto"/>
        </w:rPr>
        <w:t>We believe we offer dealers an efficient customer acquisition channel driven by the volume of connections to our users, the quality of those connections, and the brand</w:t>
      </w:r>
      <w:r>
        <w:rPr>
          <w:rFonts w:ascii="Arial" w:cs="Arial" w:eastAsia="Arial" w:hAnsi="Arial"/>
          <w:sz w:val="12"/>
          <w:szCs w:val="12"/>
          <w:i w:val="1"/>
          <w:iCs w:val="1"/>
          <w:color w:val="auto"/>
        </w:rPr>
        <w:t xml:space="preserve"> </w:t>
      </w:r>
      <w:r>
        <w:rPr>
          <w:rFonts w:ascii="Arial" w:cs="Arial" w:eastAsia="Arial" w:hAnsi="Arial"/>
          <w:sz w:val="12"/>
          <w:szCs w:val="12"/>
          <w:color w:val="auto"/>
        </w:rPr>
        <w:t>exposure to our engaged audience in relation to our subscription cost.</w:t>
      </w:r>
    </w:p>
    <w:p>
      <w:pPr>
        <w:spacing w:after="0" w:line="116" w:lineRule="exact"/>
        <w:rPr>
          <w:rFonts w:ascii="Arial" w:cs="Arial" w:eastAsia="Arial" w:hAnsi="Arial"/>
          <w:sz w:val="12"/>
          <w:szCs w:val="12"/>
          <w:color w:val="auto"/>
        </w:rPr>
      </w:pPr>
    </w:p>
    <w:p>
      <w:pPr>
        <w:ind w:left="860" w:right="40" w:hanging="352"/>
        <w:spacing w:after="0" w:line="280" w:lineRule="auto"/>
        <w:tabs>
          <w:tab w:leader="none" w:pos="86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Large and Engaged Audience. </w:t>
      </w:r>
      <w:r>
        <w:rPr>
          <w:rFonts w:ascii="Arial" w:cs="Arial" w:eastAsia="Arial" w:hAnsi="Arial"/>
          <w:sz w:val="11"/>
          <w:szCs w:val="11"/>
          <w:color w:val="auto"/>
        </w:rPr>
        <w:t>We are the most visited online automotive marketplace in the United States; according to comScore, in the second quarter of 2017 we had 2.3 times as many visits to our</w:t>
      </w:r>
      <w:r>
        <w:rPr>
          <w:rFonts w:ascii="Arial" w:cs="Arial" w:eastAsia="Arial" w:hAnsi="Arial"/>
          <w:sz w:val="11"/>
          <w:szCs w:val="11"/>
          <w:i w:val="1"/>
          <w:iCs w:val="1"/>
          <w:color w:val="auto"/>
        </w:rPr>
        <w:t xml:space="preserve"> </w:t>
      </w:r>
      <w:r>
        <w:rPr>
          <w:rFonts w:ascii="Arial" w:cs="Arial" w:eastAsia="Arial" w:hAnsi="Arial"/>
          <w:sz w:val="11"/>
          <w:szCs w:val="11"/>
          <w:color w:val="auto"/>
        </w:rPr>
        <w:t>U.S. website as any other major U.S. online automotive marketplace, up from 1.8 times as many during the same period in 2016. In addition, we believe our audience is more engaged than users of other major U.S. online automotive marketplaces; in the second quarter of 2017, our visitors returned to our site more than 2.4 times as often as any other major U.S. online automotive marketplace.</w:t>
      </w:r>
    </w:p>
    <w:p>
      <w:pPr>
        <w:spacing w:after="0" w:line="97" w:lineRule="exact"/>
        <w:rPr>
          <w:rFonts w:ascii="Arial" w:cs="Arial" w:eastAsia="Arial" w:hAnsi="Arial"/>
          <w:sz w:val="11"/>
          <w:szCs w:val="11"/>
          <w:color w:val="auto"/>
        </w:rPr>
      </w:pPr>
    </w:p>
    <w:p>
      <w:pPr>
        <w:ind w:left="860" w:right="100" w:hanging="352"/>
        <w:spacing w:after="0" w:line="259" w:lineRule="auto"/>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Volume of Connections. </w:t>
      </w:r>
      <w:r>
        <w:rPr>
          <w:rFonts w:ascii="Arial" w:cs="Arial" w:eastAsia="Arial" w:hAnsi="Arial"/>
          <w:sz w:val="12"/>
          <w:szCs w:val="12"/>
          <w:color w:val="auto"/>
        </w:rPr>
        <w:t>Our marketplace enables consumers to easily connect with dealers through a variety of channels. In 2016, we provided over 42 million connections to our dealers in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States.</w:t>
      </w:r>
    </w:p>
    <w:p>
      <w:pPr>
        <w:spacing w:after="0" w:line="107" w:lineRule="exact"/>
        <w:rPr>
          <w:rFonts w:ascii="Arial" w:cs="Arial" w:eastAsia="Arial" w:hAnsi="Arial"/>
          <w:sz w:val="12"/>
          <w:szCs w:val="12"/>
          <w:color w:val="auto"/>
        </w:rPr>
      </w:pPr>
    </w:p>
    <w:p>
      <w:pPr>
        <w:ind w:left="860" w:hanging="352"/>
        <w:spacing w:after="0"/>
        <w:tabs>
          <w:tab w:leader="none" w:pos="86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Broad Suite of Products and Tools. </w:t>
      </w:r>
      <w:r>
        <w:rPr>
          <w:rFonts w:ascii="Arial" w:cs="Arial" w:eastAsia="Arial" w:hAnsi="Arial"/>
          <w:sz w:val="11"/>
          <w:szCs w:val="11"/>
          <w:color w:val="auto"/>
        </w:rPr>
        <w:t>We offer products that help dealers acquire customers and build their brands. Additionally, we provide tools to help dealers market and sell their cars more efficiently.</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Why Auto Manufacturers Choose Us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believe that auto manufacturers choose to advertise in our marketplace for the following reasons:</w:t>
      </w:r>
    </w:p>
    <w:p>
      <w:pPr>
        <w:spacing w:after="0" w:line="138" w:lineRule="exact"/>
        <w:rPr>
          <w:sz w:val="20"/>
          <w:szCs w:val="20"/>
          <w:color w:val="auto"/>
        </w:rPr>
      </w:pPr>
    </w:p>
    <w:p>
      <w:pPr>
        <w:ind w:left="860" w:right="180" w:hanging="352"/>
        <w:spacing w:after="0" w:line="304" w:lineRule="auto"/>
        <w:tabs>
          <w:tab w:leader="none" w:pos="86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Unique Non-Overlapping Audience of In-Market Consumers. </w:t>
      </w:r>
      <w:r>
        <w:rPr>
          <w:rFonts w:ascii="Arial" w:cs="Arial" w:eastAsia="Arial" w:hAnsi="Arial"/>
          <w:sz w:val="11"/>
          <w:szCs w:val="11"/>
          <w:color w:val="auto"/>
        </w:rPr>
        <w:t>Based on comScore estimates, in the second quarter of 2017, 62% of our monthly unique visitors did not visit any of the other major U.S.</w:t>
      </w:r>
      <w:r>
        <w:rPr>
          <w:rFonts w:ascii="Arial" w:cs="Arial" w:eastAsia="Arial" w:hAnsi="Arial"/>
          <w:sz w:val="11"/>
          <w:szCs w:val="11"/>
          <w:i w:val="1"/>
          <w:iCs w:val="1"/>
          <w:color w:val="auto"/>
        </w:rPr>
        <w:t xml:space="preserve"> </w:t>
      </w:r>
      <w:r>
        <w:rPr>
          <w:rFonts w:ascii="Arial" w:cs="Arial" w:eastAsia="Arial" w:hAnsi="Arial"/>
          <w:sz w:val="11"/>
          <w:szCs w:val="11"/>
          <w:color w:val="auto"/>
        </w:rPr>
        <w:t>online automotive marketplaces during the same period. This creates a compelling value proposition to auto manufacturers, as they would have difficulty reaching these users at scale elsewhere.</w:t>
      </w:r>
    </w:p>
    <w:p>
      <w:pPr>
        <w:spacing w:after="0" w:line="84" w:lineRule="exact"/>
        <w:rPr>
          <w:rFonts w:ascii="Arial" w:cs="Arial" w:eastAsia="Arial" w:hAnsi="Arial"/>
          <w:sz w:val="11"/>
          <w:szCs w:val="11"/>
          <w:color w:val="auto"/>
        </w:rPr>
      </w:pPr>
    </w:p>
    <w:p>
      <w:pPr>
        <w:ind w:left="860" w:right="300" w:hanging="352"/>
        <w:spacing w:after="0" w:line="259" w:lineRule="auto"/>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Clean, Uncluttered Pages. </w:t>
      </w:r>
      <w:r>
        <w:rPr>
          <w:rFonts w:ascii="Arial" w:cs="Arial" w:eastAsia="Arial" w:hAnsi="Arial"/>
          <w:sz w:val="12"/>
          <w:szCs w:val="12"/>
          <w:color w:val="auto"/>
        </w:rPr>
        <w:t>We provide a clean and uncluttered user interface as part of our commitment to creating the best consumer experience. By limiting the number of advertisements on any</w:t>
      </w:r>
      <w:r>
        <w:rPr>
          <w:rFonts w:ascii="Arial" w:cs="Arial" w:eastAsia="Arial" w:hAnsi="Arial"/>
          <w:sz w:val="12"/>
          <w:szCs w:val="12"/>
          <w:i w:val="1"/>
          <w:iCs w:val="1"/>
          <w:color w:val="auto"/>
        </w:rPr>
        <w:t xml:space="preserve"> </w:t>
      </w:r>
      <w:r>
        <w:rPr>
          <w:rFonts w:ascii="Arial" w:cs="Arial" w:eastAsia="Arial" w:hAnsi="Arial"/>
          <w:sz w:val="12"/>
          <w:szCs w:val="12"/>
          <w:color w:val="auto"/>
        </w:rPr>
        <w:t>given page, we help advertisers' messages better resonate when compared to other online automotive marketplaces that display significantly more ads.</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42" w:right="35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432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343281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Strengths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believe that our competitive advantages are based on the following key strengths:</w:t>
      </w:r>
    </w:p>
    <w:p>
      <w:pPr>
        <w:spacing w:after="0" w:line="136" w:lineRule="exact"/>
        <w:rPr>
          <w:sz w:val="20"/>
          <w:szCs w:val="20"/>
          <w:color w:val="auto"/>
        </w:rPr>
      </w:pPr>
    </w:p>
    <w:p>
      <w:pPr>
        <w:jc w:val="both"/>
        <w:ind w:left="860" w:right="320" w:hanging="352"/>
        <w:spacing w:after="0" w:line="248"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Trusted Marketplace for Consumers. </w:t>
      </w:r>
      <w:r>
        <w:rPr>
          <w:rFonts w:ascii="Arial" w:cs="Arial" w:eastAsia="Arial" w:hAnsi="Arial"/>
          <w:sz w:val="12"/>
          <w:szCs w:val="12"/>
          <w:color w:val="auto"/>
        </w:rPr>
        <w:t>We believe that providing an unbiased and transparent consumer experience has instilled greater trust in us among our users, helping us become the most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visited major U.S. online automotive marketplace. In the second quarter of 2017, we experienced over 61 million average monthly sessions. We define average monthly sessions as the number of distinct visits to our website that take place each month within a given time frame, as measured and defined by Google Analytics.</w:t>
      </w:r>
    </w:p>
    <w:p>
      <w:pPr>
        <w:spacing w:after="0" w:line="112" w:lineRule="exact"/>
        <w:rPr>
          <w:rFonts w:ascii="Arial" w:cs="Arial" w:eastAsia="Arial" w:hAnsi="Arial"/>
          <w:sz w:val="12"/>
          <w:szCs w:val="12"/>
          <w:color w:val="auto"/>
        </w:rPr>
      </w:pPr>
    </w:p>
    <w:p>
      <w:pPr>
        <w:ind w:left="860" w:right="200" w:hanging="352"/>
        <w:spacing w:after="0" w:line="282" w:lineRule="auto"/>
        <w:tabs>
          <w:tab w:leader="none" w:pos="860" w:val="left"/>
        </w:tabs>
        <w:numPr>
          <w:ilvl w:val="0"/>
          <w:numId w:val="6"/>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Proprietary Search Algorithms and Data-Driven Approach. </w:t>
      </w:r>
      <w:r>
        <w:rPr>
          <w:rFonts w:ascii="Arial" w:cs="Arial" w:eastAsia="Arial" w:hAnsi="Arial"/>
          <w:sz w:val="11"/>
          <w:szCs w:val="11"/>
          <w:color w:val="auto"/>
        </w:rPr>
        <w:t>We have built an extensive repository of data that is the result of over seven years of data aggregation and regression modeling.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calculate IMV using complex algorithms and data analytics that apply more than 20 ranking signals and more than 100 normalization rules to millions of data points. Our proprietary search algorithms and data analytics allow us to use this data to bring greater transparency to our platform through Deal Rating, as well as build new products and launch marketplaces in new countries.</w:t>
      </w:r>
    </w:p>
    <w:p>
      <w:pPr>
        <w:spacing w:after="0" w:line="94" w:lineRule="exact"/>
        <w:rPr>
          <w:rFonts w:ascii="Arial" w:cs="Arial" w:eastAsia="Arial" w:hAnsi="Arial"/>
          <w:sz w:val="11"/>
          <w:szCs w:val="11"/>
          <w:color w:val="auto"/>
        </w:rPr>
      </w:pPr>
    </w:p>
    <w:p>
      <w:pPr>
        <w:ind w:left="860" w:right="220" w:hanging="352"/>
        <w:spacing w:after="0" w:line="248"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Strong Value Proposition to Dealers. </w:t>
      </w:r>
      <w:r>
        <w:rPr>
          <w:rFonts w:ascii="Arial" w:cs="Arial" w:eastAsia="Arial" w:hAnsi="Arial"/>
          <w:sz w:val="12"/>
          <w:szCs w:val="12"/>
          <w:color w:val="auto"/>
        </w:rPr>
        <w:t>We believe that our marketplace offers an efficient customer acquisition channel for dealers, helping them achieve attractive returns on their marketing spend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us. Our strong value proposition to the dealer community is evidenced by the 66% growth in the number of our paying U.S. dealers, and 18% growth in average annual revenue per subscribing dealer, or AARSD, in the United States from 2015 to 2016.</w:t>
      </w:r>
    </w:p>
    <w:p>
      <w:pPr>
        <w:spacing w:after="0" w:line="121" w:lineRule="exact"/>
        <w:rPr>
          <w:rFonts w:ascii="Arial" w:cs="Arial" w:eastAsia="Arial" w:hAnsi="Arial"/>
          <w:sz w:val="12"/>
          <w:szCs w:val="12"/>
          <w:color w:val="auto"/>
        </w:rPr>
      </w:pPr>
    </w:p>
    <w:p>
      <w:pPr>
        <w:ind w:left="860" w:right="280" w:hanging="352"/>
        <w:spacing w:after="0" w:line="248"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Network Effects Driven by Scale. </w:t>
      </w:r>
      <w:r>
        <w:rPr>
          <w:rFonts w:ascii="Arial" w:cs="Arial" w:eastAsia="Arial" w:hAnsi="Arial"/>
          <w:sz w:val="12"/>
          <w:szCs w:val="12"/>
          <w:color w:val="auto"/>
        </w:rPr>
        <w:t>Having reached the majority of dealers and built one of the largest consumer audiences in the United States, we believe that our scale creates powerful network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effects that reinforce the competitive strength of our business model. Our large consumer audience incentivizes more dealers to convert to paid usage of our listing products, which in turn provides consumers with more dealer information and methods to contact them. More consumers and connections drive greater value to our paying dealers.</w:t>
      </w:r>
    </w:p>
    <w:p>
      <w:pPr>
        <w:spacing w:after="0" w:line="112" w:lineRule="exact"/>
        <w:rPr>
          <w:rFonts w:ascii="Arial" w:cs="Arial" w:eastAsia="Arial" w:hAnsi="Arial"/>
          <w:sz w:val="12"/>
          <w:szCs w:val="12"/>
          <w:color w:val="auto"/>
        </w:rPr>
      </w:pPr>
    </w:p>
    <w:p>
      <w:pPr>
        <w:ind w:left="860" w:right="480" w:hanging="352"/>
        <w:spacing w:after="0" w:line="262"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Attractive Financial Model. </w:t>
      </w:r>
      <w:r>
        <w:rPr>
          <w:rFonts w:ascii="Arial" w:cs="Arial" w:eastAsia="Arial" w:hAnsi="Arial"/>
          <w:sz w:val="12"/>
          <w:szCs w:val="12"/>
          <w:color w:val="auto"/>
        </w:rPr>
        <w:t>We have a strong track record of revenue growth, profitability, and capital efficiency. Our subscription model results in revenue that is recurring among a diversified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customer base.</w:t>
      </w:r>
    </w:p>
    <w:p>
      <w:pPr>
        <w:spacing w:after="0" w:line="104" w:lineRule="exact"/>
        <w:rPr>
          <w:rFonts w:ascii="Arial" w:cs="Arial" w:eastAsia="Arial" w:hAnsi="Arial"/>
          <w:sz w:val="12"/>
          <w:szCs w:val="12"/>
          <w:color w:val="auto"/>
        </w:rPr>
      </w:pPr>
    </w:p>
    <w:p>
      <w:pPr>
        <w:ind w:left="860" w:right="40" w:hanging="352"/>
        <w:spacing w:after="0" w:line="262"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Founder-Led Management Team with Culture of Innovation. </w:t>
      </w:r>
      <w:r>
        <w:rPr>
          <w:rFonts w:ascii="Arial" w:cs="Arial" w:eastAsia="Arial" w:hAnsi="Arial"/>
          <w:sz w:val="12"/>
          <w:szCs w:val="12"/>
          <w:color w:val="auto"/>
        </w:rPr>
        <w:t>Building upon our founder's previous experience in using technology to provide transparent information to consumers, we have fostered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culture of data-driven innovation that we expect will drive continued growth.</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Growth Strategies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intend to continue to grow our business by pursuing the following strategies:</w:t>
      </w:r>
    </w:p>
    <w:p>
      <w:pPr>
        <w:spacing w:after="0" w:line="136" w:lineRule="exact"/>
        <w:rPr>
          <w:sz w:val="20"/>
          <w:szCs w:val="20"/>
          <w:color w:val="auto"/>
        </w:rPr>
      </w:pPr>
    </w:p>
    <w:p>
      <w:pPr>
        <w:ind w:left="860" w:hanging="352"/>
        <w:spacing w:after="0" w:line="262"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Grow Our Paying U.S. Dealer Base. </w:t>
      </w:r>
      <w:r>
        <w:rPr>
          <w:rFonts w:ascii="Arial" w:cs="Arial" w:eastAsia="Arial" w:hAnsi="Arial"/>
          <w:sz w:val="12"/>
          <w:szCs w:val="12"/>
          <w:color w:val="auto"/>
        </w:rPr>
        <w:t>We plan to convert more dealers to paying dealers in the United States by demonstrating the value proposition of our marketplace and by introducing new features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services.</w:t>
      </w:r>
    </w:p>
    <w:p>
      <w:pPr>
        <w:spacing w:after="0" w:line="104" w:lineRule="exact"/>
        <w:rPr>
          <w:rFonts w:ascii="Arial" w:cs="Arial" w:eastAsia="Arial" w:hAnsi="Arial"/>
          <w:sz w:val="12"/>
          <w:szCs w:val="12"/>
          <w:color w:val="auto"/>
        </w:rPr>
      </w:pPr>
    </w:p>
    <w:p>
      <w:pPr>
        <w:ind w:left="860" w:right="720" w:hanging="352"/>
        <w:spacing w:after="0" w:line="262"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Increase Our Share of Dealer Marketing Spend From Existing Products. </w:t>
      </w:r>
      <w:r>
        <w:rPr>
          <w:rFonts w:ascii="Arial" w:cs="Arial" w:eastAsia="Arial" w:hAnsi="Arial"/>
          <w:sz w:val="12"/>
          <w:szCs w:val="12"/>
          <w:color w:val="auto"/>
        </w:rPr>
        <w:t>We intend to continue to grow our AARSD by increasing the volume of connections we provide to dealers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demonstrating the value of our large, engaged, and predominantly mobile audience.</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689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3689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860" w:hanging="352"/>
        <w:spacing w:after="0"/>
        <w:tabs>
          <w:tab w:leader="none" w:pos="860" w:val="left"/>
        </w:tabs>
        <w:numPr>
          <w:ilvl w:val="0"/>
          <w:numId w:val="8"/>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Offer Additional Dealer Products. </w:t>
      </w:r>
      <w:r>
        <w:rPr>
          <w:rFonts w:ascii="Arial" w:cs="Arial" w:eastAsia="Arial" w:hAnsi="Arial"/>
          <w:sz w:val="11"/>
          <w:szCs w:val="11"/>
          <w:color w:val="auto"/>
        </w:rPr>
        <w:t>We plan to offer new products to help dealers acquire customers, build relationships with prospects, and better manage their inventories, websites, and dealerships.</w:t>
      </w:r>
    </w:p>
    <w:p>
      <w:pPr>
        <w:spacing w:after="0" w:line="143" w:lineRule="exact"/>
        <w:rPr>
          <w:rFonts w:ascii="Arial" w:cs="Arial" w:eastAsia="Arial" w:hAnsi="Arial"/>
          <w:sz w:val="11"/>
          <w:szCs w:val="11"/>
          <w:color w:val="auto"/>
        </w:rPr>
      </w:pPr>
    </w:p>
    <w:p>
      <w:pPr>
        <w:ind w:left="860" w:hanging="352"/>
        <w:spacing w:after="0" w:line="262"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Grow the Size and Engagement of Our Consumer Audience. </w:t>
      </w:r>
      <w:r>
        <w:rPr>
          <w:rFonts w:ascii="Arial" w:cs="Arial" w:eastAsia="Arial" w:hAnsi="Arial"/>
          <w:sz w:val="12"/>
          <w:szCs w:val="12"/>
          <w:color w:val="auto"/>
        </w:rPr>
        <w:t>We intend to continue investing in, and improving the efficiency of, our algorithmic traffic acquisition. We also intend to add new features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assist consumers with more aspects of the car ownership lifecycle.</w:t>
      </w:r>
    </w:p>
    <w:p>
      <w:pPr>
        <w:spacing w:after="0" w:line="104" w:lineRule="exact"/>
        <w:rPr>
          <w:rFonts w:ascii="Arial" w:cs="Arial" w:eastAsia="Arial" w:hAnsi="Arial"/>
          <w:sz w:val="12"/>
          <w:szCs w:val="12"/>
          <w:color w:val="auto"/>
        </w:rPr>
      </w:pPr>
    </w:p>
    <w:p>
      <w:pPr>
        <w:ind w:left="860" w:hanging="352"/>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Invest in Our Brand. </w:t>
      </w:r>
      <w:r>
        <w:rPr>
          <w:rFonts w:ascii="Arial" w:cs="Arial" w:eastAsia="Arial" w:hAnsi="Arial"/>
          <w:sz w:val="12"/>
          <w:szCs w:val="12"/>
          <w:color w:val="auto"/>
        </w:rPr>
        <w:t>We plan to further expand our marketing efforts to drive greater brand recognition, trust, and loyalty from consumers and dealers.</w:t>
      </w:r>
    </w:p>
    <w:p>
      <w:pPr>
        <w:spacing w:after="0" w:line="141" w:lineRule="exact"/>
        <w:rPr>
          <w:rFonts w:ascii="Arial" w:cs="Arial" w:eastAsia="Arial" w:hAnsi="Arial"/>
          <w:sz w:val="12"/>
          <w:szCs w:val="12"/>
          <w:color w:val="auto"/>
        </w:rPr>
      </w:pPr>
    </w:p>
    <w:p>
      <w:pPr>
        <w:ind w:left="860" w:right="160" w:hanging="352"/>
        <w:spacing w:after="0" w:line="262" w:lineRule="auto"/>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Expand into International Markets. </w:t>
      </w:r>
      <w:r>
        <w:rPr>
          <w:rFonts w:ascii="Arial" w:cs="Arial" w:eastAsia="Arial" w:hAnsi="Arial"/>
          <w:sz w:val="12"/>
          <w:szCs w:val="12"/>
          <w:color w:val="auto"/>
        </w:rPr>
        <w:t>We plan to grow our marketplaces in Canada, the United Kingdom, and Germany and launch new marketplaces in other countries which have attractive industry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dynamics.</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Risks Affecting Our Business</w:t>
      </w:r>
    </w:p>
    <w:p>
      <w:pPr>
        <w:spacing w:after="0" w:line="155" w:lineRule="exact"/>
        <w:rPr>
          <w:sz w:val="20"/>
          <w:szCs w:val="20"/>
          <w:color w:val="auto"/>
        </w:rPr>
      </w:pPr>
    </w:p>
    <w:p>
      <w:pPr>
        <w:ind w:left="140" w:right="200" w:firstLine="323"/>
        <w:spacing w:after="0" w:line="237" w:lineRule="auto"/>
        <w:rPr>
          <w:sz w:val="20"/>
          <w:szCs w:val="20"/>
          <w:color w:val="auto"/>
        </w:rPr>
      </w:pPr>
      <w:r>
        <w:rPr>
          <w:rFonts w:ascii="Arial" w:cs="Arial" w:eastAsia="Arial" w:hAnsi="Arial"/>
          <w:sz w:val="12"/>
          <w:szCs w:val="12"/>
          <w:color w:val="auto"/>
        </w:rPr>
        <w:t>You should consider carefully the risks described under the "Risk Factors" section beginning on page 17 and elsewhere in this prospectus. These risks, which include the following, could materially and adversely affect our business, financial condition, operating results, cash flow, and prospects, which could cause the trading price of our Class A common stock to decline and could result in a partial or total loss of your investment:</w:t>
      </w:r>
    </w:p>
    <w:p>
      <w:pPr>
        <w:spacing w:after="0" w:line="141" w:lineRule="exact"/>
        <w:rPr>
          <w:sz w:val="20"/>
          <w:szCs w:val="20"/>
          <w:color w:val="auto"/>
        </w:rPr>
      </w:pPr>
    </w:p>
    <w:p>
      <w:pPr>
        <w:ind w:left="860" w:right="60" w:hanging="352"/>
        <w:spacing w:after="0" w:line="239" w:lineRule="auto"/>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130" w:lineRule="exact"/>
        <w:rPr>
          <w:rFonts w:ascii="Arial" w:cs="Arial" w:eastAsia="Arial" w:hAnsi="Arial"/>
          <w:sz w:val="12"/>
          <w:szCs w:val="12"/>
          <w:color w:val="auto"/>
        </w:rPr>
      </w:pPr>
    </w:p>
    <w:p>
      <w:pPr>
        <w:ind w:left="860" w:right="220" w:hanging="352"/>
        <w:spacing w:after="0" w:line="239" w:lineRule="auto"/>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fail to maintain or increase the number of dealers that pay subscription fees to us, or fail to maintain or increase the fees paid to us for subscriptions, our business and financial results would be harmed.</w:t>
      </w:r>
    </w:p>
    <w:p>
      <w:pPr>
        <w:spacing w:after="0" w:line="139" w:lineRule="exact"/>
        <w:rPr>
          <w:rFonts w:ascii="Arial" w:cs="Arial" w:eastAsia="Arial" w:hAnsi="Arial"/>
          <w:sz w:val="12"/>
          <w:szCs w:val="12"/>
          <w:color w:val="auto"/>
        </w:rPr>
      </w:pPr>
    </w:p>
    <w:p>
      <w:pPr>
        <w:ind w:left="860" w:hanging="352"/>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dealers or other advertisers reduce their advertising spend with us and we are unable to attract new advertisers, our business would be harmed.</w:t>
      </w:r>
    </w:p>
    <w:p>
      <w:pPr>
        <w:spacing w:after="0" w:line="132" w:lineRule="exact"/>
        <w:rPr>
          <w:rFonts w:ascii="Arial" w:cs="Arial" w:eastAsia="Arial" w:hAnsi="Arial"/>
          <w:sz w:val="12"/>
          <w:szCs w:val="12"/>
          <w:color w:val="auto"/>
        </w:rPr>
      </w:pPr>
    </w:p>
    <w:p>
      <w:pPr>
        <w:ind w:left="860" w:right="300" w:hanging="352"/>
        <w:spacing w:after="0" w:line="239" w:lineRule="auto"/>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are unable to provide a compelling vehicle search experience to consumers through both our web and mobile platforms, the number of connections between consumers and dealers using our marketplace may decline and our business and financial results would be materially and adversely affected.</w:t>
      </w:r>
    </w:p>
    <w:p>
      <w:pPr>
        <w:spacing w:after="0" w:line="130" w:lineRule="exact"/>
        <w:rPr>
          <w:rFonts w:ascii="Arial" w:cs="Arial" w:eastAsia="Arial" w:hAnsi="Arial"/>
          <w:sz w:val="12"/>
          <w:szCs w:val="12"/>
          <w:color w:val="auto"/>
        </w:rPr>
      </w:pPr>
    </w:p>
    <w:p>
      <w:pPr>
        <w:ind w:left="860" w:hanging="352"/>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rely on Internet search engines to drive traffic to our website, and if we fail to appear prominently in the search results, our traffic would decline and our business would be adversely affected.</w:t>
      </w:r>
    </w:p>
    <w:p>
      <w:pPr>
        <w:spacing w:after="0" w:line="141" w:lineRule="exact"/>
        <w:rPr>
          <w:rFonts w:ascii="Arial" w:cs="Arial" w:eastAsia="Arial" w:hAnsi="Arial"/>
          <w:sz w:val="12"/>
          <w:szCs w:val="12"/>
          <w:color w:val="auto"/>
        </w:rPr>
      </w:pPr>
    </w:p>
    <w:p>
      <w:pPr>
        <w:ind w:left="860" w:hanging="352"/>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inability by us to develop new products, or achieve widespread consumer adoption of those products, could negatively impact our business and financial results.</w:t>
      </w:r>
    </w:p>
    <w:p>
      <w:pPr>
        <w:spacing w:after="0" w:line="132" w:lineRule="exact"/>
        <w:rPr>
          <w:rFonts w:ascii="Arial" w:cs="Arial" w:eastAsia="Arial" w:hAnsi="Arial"/>
          <w:sz w:val="12"/>
          <w:szCs w:val="12"/>
          <w:color w:val="auto"/>
        </w:rPr>
      </w:pPr>
    </w:p>
    <w:p>
      <w:pPr>
        <w:ind w:left="860" w:right="480" w:hanging="352"/>
        <w:spacing w:after="0" w:line="239" w:lineRule="auto"/>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maintain or grow relationships with data providers, or may experience interruptions in the data they provide, which may create a less valuable or less transparent shopping experience and negatively affect our business and operating results.</w:t>
      </w:r>
    </w:p>
    <w:p>
      <w:pPr>
        <w:spacing w:after="0" w:line="130" w:lineRule="exact"/>
        <w:rPr>
          <w:rFonts w:ascii="Arial" w:cs="Arial" w:eastAsia="Arial" w:hAnsi="Arial"/>
          <w:sz w:val="12"/>
          <w:szCs w:val="12"/>
          <w:color w:val="auto"/>
        </w:rPr>
      </w:pPr>
    </w:p>
    <w:p>
      <w:pPr>
        <w:ind w:left="860" w:hanging="352"/>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failure to build and maintain our brand would harm our ability to grow our audience and to expand the use of our marketplace by consumers and dealers.</w:t>
      </w:r>
    </w:p>
    <w:p>
      <w:pPr>
        <w:spacing w:after="0" w:line="141" w:lineRule="exact"/>
        <w:rPr>
          <w:rFonts w:ascii="Arial" w:cs="Arial" w:eastAsia="Arial" w:hAnsi="Arial"/>
          <w:sz w:val="12"/>
          <w:szCs w:val="12"/>
          <w:color w:val="auto"/>
        </w:rPr>
      </w:pPr>
    </w:p>
    <w:p>
      <w:pPr>
        <w:ind w:left="860" w:hanging="352"/>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recent, rapid growth is not indicative of our future growth, and our revenue growth rate will decline in the future.</w:t>
      </w: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095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30956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hanging="352"/>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If we fail to expand effectively into new markets, both domestically and abroad, our revenue, business, and financial results will be harmed.</w:t>
      </w:r>
    </w:p>
    <w:p>
      <w:pPr>
        <w:spacing w:after="0" w:line="132" w:lineRule="exact"/>
        <w:rPr>
          <w:rFonts w:ascii="Arial" w:cs="Arial" w:eastAsia="Arial" w:hAnsi="Arial"/>
          <w:sz w:val="12"/>
          <w:szCs w:val="12"/>
          <w:color w:val="auto"/>
        </w:rPr>
      </w:pPr>
    </w:p>
    <w:p>
      <w:pPr>
        <w:ind w:left="860" w:hanging="352"/>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participate in a highly competitive market, and pressure from existing and new companies may adversely affect our business and operating results.</w:t>
      </w:r>
    </w:p>
    <w:p>
      <w:pPr>
        <w:spacing w:after="0" w:line="132" w:lineRule="exact"/>
        <w:rPr>
          <w:rFonts w:ascii="Arial" w:cs="Arial" w:eastAsia="Arial" w:hAnsi="Arial"/>
          <w:sz w:val="12"/>
          <w:szCs w:val="12"/>
          <w:color w:val="auto"/>
        </w:rPr>
      </w:pPr>
    </w:p>
    <w:p>
      <w:pPr>
        <w:ind w:left="860" w:right="120" w:hanging="352"/>
        <w:spacing w:after="0" w:line="239" w:lineRule="auto"/>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Following this offering, our founder and Chief Executive Officer will control a majority of the voting power of our outstanding capital stock, and, therefore, will have control over key decision-making and could control our actions in a manner that conflicts with the interests of other stockholders.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Status as a Controlled Company</w:t>
      </w:r>
    </w:p>
    <w:p>
      <w:pPr>
        <w:spacing w:after="0" w:line="155" w:lineRule="exact"/>
        <w:rPr>
          <w:sz w:val="20"/>
          <w:szCs w:val="20"/>
          <w:color w:val="auto"/>
        </w:rPr>
      </w:pPr>
    </w:p>
    <w:p>
      <w:pPr>
        <w:ind w:left="140" w:firstLine="325"/>
        <w:spacing w:after="0" w:line="236" w:lineRule="auto"/>
        <w:rPr>
          <w:sz w:val="20"/>
          <w:szCs w:val="20"/>
          <w:color w:val="auto"/>
        </w:rPr>
      </w:pPr>
      <w:r>
        <w:rPr>
          <w:rFonts w:ascii="Arial" w:cs="Arial" w:eastAsia="Arial" w:hAnsi="Arial"/>
          <w:sz w:val="12"/>
          <w:szCs w:val="12"/>
          <w:color w:val="auto"/>
        </w:rPr>
        <w:t>Mr. Steinert, who after our initial public offering will control approximately 53% of the voting power of our outstanding capital stock, will have the ability to control the outcome of matters submitted to our stockholders for approval, including the election of our directors, as well as the overall management and direction of our company. Because Mr. Steinert controls a majority of our outstanding voting power, we will be a "controlled company" under the corporate governance rules for NASDAQ-listed companies. Because we will qualify as a "controlled company," we will not be required to have a majority of our board of directors be independent, nor will we be required to have a compensation committee consisting entirely of independent directors or having an independent nominating function. Following this offering, we intend to initially avail ourselves of certain of these exemptions and, for so long as we qualify as a "controlled company," we will maintain the option to utilize from time to time some or all of these exemptions. For example, upon the closing of this offering, our compensation committee will not consist entirely of independent directors and we will not have a nominating and corporate governance committee.</w:t>
      </w:r>
    </w:p>
    <w:p>
      <w:pPr>
        <w:spacing w:after="0" w:line="141" w:lineRule="exact"/>
        <w:rPr>
          <w:sz w:val="20"/>
          <w:szCs w:val="20"/>
          <w:color w:val="auto"/>
        </w:rPr>
      </w:pPr>
    </w:p>
    <w:p>
      <w:pPr>
        <w:ind w:left="140" w:firstLine="325"/>
        <w:spacing w:after="0" w:line="237" w:lineRule="auto"/>
        <w:rPr>
          <w:sz w:val="20"/>
          <w:szCs w:val="20"/>
          <w:color w:val="auto"/>
        </w:rPr>
      </w:pPr>
      <w:r>
        <w:rPr>
          <w:rFonts w:ascii="Arial" w:cs="Arial" w:eastAsia="Arial" w:hAnsi="Arial"/>
          <w:sz w:val="12"/>
          <w:szCs w:val="12"/>
          <w:color w:val="auto"/>
        </w:rPr>
        <w:t>In the event of Mr. Steinert's death or voluntary termination of all employment and service on our board of directors, or if the sum of the number of shares of our capital stock held by Langley Steinert, by any Family Member of Langley Steinert, and by any Permitted Entity of Langley Steinert (as such terms are defined in our amended and restated certificate of incorporation), assuming the exercise and settlement in full of all outstanding options and convertible securities and calculated on an as-converted to Class A common stock basis, is less than 9,091,484, then each outstanding share of Class B common stock will convert into one share of Class A common stock. Upon any such conversion, we may no longer be a "controlled company."</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Corporate Information</w:t>
      </w:r>
    </w:p>
    <w:p>
      <w:pPr>
        <w:spacing w:after="0" w:line="155" w:lineRule="exact"/>
        <w:rPr>
          <w:sz w:val="20"/>
          <w:szCs w:val="20"/>
          <w:color w:val="auto"/>
        </w:rPr>
      </w:pPr>
    </w:p>
    <w:p>
      <w:pPr>
        <w:ind w:left="140" w:right="440" w:firstLine="325"/>
        <w:spacing w:after="0" w:line="239" w:lineRule="auto"/>
        <w:rPr>
          <w:sz w:val="20"/>
          <w:szCs w:val="20"/>
          <w:color w:val="auto"/>
        </w:rPr>
      </w:pPr>
      <w:r>
        <w:rPr>
          <w:rFonts w:ascii="Arial" w:cs="Arial" w:eastAsia="Arial" w:hAnsi="Arial"/>
          <w:sz w:val="12"/>
          <w:szCs w:val="12"/>
          <w:color w:val="auto"/>
        </w:rPr>
        <w:t>We were originally organized on November 10, 2005 as a Massachusetts limited liability company under the name "Nimalex LLC." Effective July 15, 2006, we changed our name to "CarGurus LLC." On June 26, 2015, we converted into a Delaware corporation and changed our name to "CarGurus, Inc."</w:t>
      </w:r>
    </w:p>
    <w:p>
      <w:pPr>
        <w:spacing w:after="0" w:line="139" w:lineRule="exact"/>
        <w:rPr>
          <w:sz w:val="20"/>
          <w:szCs w:val="20"/>
          <w:color w:val="auto"/>
        </w:rPr>
      </w:pPr>
    </w:p>
    <w:p>
      <w:pPr>
        <w:ind w:left="140" w:right="40" w:firstLine="325"/>
        <w:spacing w:after="0" w:line="239" w:lineRule="auto"/>
        <w:rPr>
          <w:sz w:val="20"/>
          <w:szCs w:val="20"/>
          <w:color w:val="auto"/>
        </w:rPr>
      </w:pPr>
      <w:r>
        <w:rPr>
          <w:rFonts w:ascii="Arial" w:cs="Arial" w:eastAsia="Arial" w:hAnsi="Arial"/>
          <w:sz w:val="12"/>
          <w:szCs w:val="12"/>
          <w:color w:val="auto"/>
        </w:rPr>
        <w:t>Our principal executive offices are located at 2 Canal Park, 4th Floor, Cambridge, Massachusetts 02141, and our telephone number is (617) 354-0068. Our website is www.cargurus.com. Information contained on, or that can be accessed through, our website is not incorporated by reference into this prospectus, and you should not consider information on our website to be part of this prospectus.</w:t>
      </w:r>
    </w:p>
    <w:p>
      <w:pPr>
        <w:spacing w:after="0" w:line="139" w:lineRule="exact"/>
        <w:rPr>
          <w:sz w:val="20"/>
          <w:szCs w:val="20"/>
          <w:color w:val="auto"/>
        </w:rPr>
      </w:pPr>
    </w:p>
    <w:p>
      <w:pPr>
        <w:ind w:left="140" w:right="80" w:firstLine="325"/>
        <w:spacing w:after="0" w:line="239" w:lineRule="auto"/>
        <w:rPr>
          <w:sz w:val="20"/>
          <w:szCs w:val="20"/>
          <w:color w:val="auto"/>
        </w:rPr>
      </w:pPr>
      <w:r>
        <w:rPr>
          <w:rFonts w:ascii="Arial" w:cs="Arial" w:eastAsia="Arial" w:hAnsi="Arial"/>
          <w:sz w:val="12"/>
          <w:szCs w:val="12"/>
          <w:color w:val="auto"/>
        </w:rPr>
        <w:t>CarGurus, the CarGurus logo, and other trademarks or service marks of CarGurus appearing in this prospectus are the property of CarGurus. Trade names, trademarks, and service marks of other companies appearing in this prospectus are the property of their respective holders. We have omitted the ® and ™ designations, as applicable, for the trademarks used in this prospectus.</w:t>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239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23920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Implications of Being an Emerging Growth Company</w:t>
      </w:r>
    </w:p>
    <w:p>
      <w:pPr>
        <w:spacing w:after="0" w:line="155" w:lineRule="exact"/>
        <w:rPr>
          <w:sz w:val="20"/>
          <w:szCs w:val="20"/>
          <w:color w:val="auto"/>
        </w:rPr>
      </w:pPr>
    </w:p>
    <w:p>
      <w:pPr>
        <w:ind w:left="140" w:right="60" w:firstLine="325"/>
        <w:spacing w:after="0" w:line="237"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the JOBS Act, and are therefore subject to reduced public company reporting requirements.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w:t>
      </w:r>
    </w:p>
    <w:p>
      <w:pPr>
        <w:spacing w:after="0" w:line="139" w:lineRule="exact"/>
        <w:rPr>
          <w:sz w:val="20"/>
          <w:szCs w:val="20"/>
          <w:color w:val="auto"/>
        </w:rPr>
      </w:pPr>
    </w:p>
    <w:p>
      <w:pPr>
        <w:ind w:left="140" w:right="160" w:firstLine="319"/>
        <w:spacing w:after="0" w:line="239" w:lineRule="auto"/>
        <w:rPr>
          <w:sz w:val="20"/>
          <w:szCs w:val="20"/>
          <w:color w:val="auto"/>
        </w:rPr>
      </w:pPr>
      <w:r>
        <w:rPr>
          <w:rFonts w:ascii="Arial" w:cs="Arial" w:eastAsia="Arial" w:hAnsi="Arial"/>
          <w:sz w:val="12"/>
          <w:szCs w:val="12"/>
          <w:color w:val="auto"/>
        </w:rPr>
        <w:t>As an emerging growth company, we may take advantage of specified reduced disclosure and other requirements that are otherwise applicable, in general, to public companies that are not emerging growth companies. These provisions include:</w:t>
      </w:r>
    </w:p>
    <w:p>
      <w:pPr>
        <w:spacing w:after="0" w:line="148" w:lineRule="exact"/>
        <w:rPr>
          <w:sz w:val="20"/>
          <w:szCs w:val="20"/>
          <w:color w:val="auto"/>
        </w:rPr>
      </w:pPr>
    </w:p>
    <w:p>
      <w:pPr>
        <w:ind w:left="860" w:hanging="352"/>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reduced disclosure about our executive compensation arrangements;</w:t>
      </w:r>
    </w:p>
    <w:p>
      <w:pPr>
        <w:spacing w:after="0" w:line="132" w:lineRule="exact"/>
        <w:rPr>
          <w:rFonts w:ascii="Arial" w:cs="Arial" w:eastAsia="Arial" w:hAnsi="Arial"/>
          <w:sz w:val="12"/>
          <w:szCs w:val="12"/>
          <w:color w:val="auto"/>
        </w:rPr>
      </w:pPr>
    </w:p>
    <w:p>
      <w:pPr>
        <w:ind w:left="860" w:hanging="352"/>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exemption from the requirements to hold non-binding shareholder advisory votes on executive compensation or golden parachute arrangements;</w:t>
      </w:r>
    </w:p>
    <w:p>
      <w:pPr>
        <w:spacing w:after="0" w:line="132" w:lineRule="exact"/>
        <w:rPr>
          <w:rFonts w:ascii="Arial" w:cs="Arial" w:eastAsia="Arial" w:hAnsi="Arial"/>
          <w:sz w:val="12"/>
          <w:szCs w:val="12"/>
          <w:color w:val="auto"/>
        </w:rPr>
      </w:pPr>
    </w:p>
    <w:p>
      <w:pPr>
        <w:ind w:left="860" w:hanging="352"/>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exemption from the auditor attestation requirement in the assessment of our internal control over financial reporting; and</w:t>
      </w:r>
    </w:p>
    <w:p>
      <w:pPr>
        <w:spacing w:after="0" w:line="141" w:lineRule="exact"/>
        <w:rPr>
          <w:rFonts w:ascii="Arial" w:cs="Arial" w:eastAsia="Arial" w:hAnsi="Arial"/>
          <w:sz w:val="12"/>
          <w:szCs w:val="12"/>
          <w:color w:val="auto"/>
        </w:rPr>
      </w:pPr>
    </w:p>
    <w:p>
      <w:pPr>
        <w:ind w:left="860" w:hanging="352"/>
        <w:spacing w:after="0" w:line="239"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w:t>
      </w:r>
    </w:p>
    <w:p>
      <w:pPr>
        <w:spacing w:after="0" w:line="139" w:lineRule="exact"/>
        <w:rPr>
          <w:sz w:val="20"/>
          <w:szCs w:val="20"/>
          <w:color w:val="auto"/>
        </w:rPr>
      </w:pPr>
    </w:p>
    <w:p>
      <w:pPr>
        <w:ind w:left="140" w:firstLine="325"/>
        <w:spacing w:after="0" w:line="237" w:lineRule="auto"/>
        <w:rPr>
          <w:sz w:val="20"/>
          <w:szCs w:val="20"/>
          <w:color w:val="auto"/>
        </w:rPr>
      </w:pPr>
      <w:r>
        <w:rPr>
          <w:rFonts w:ascii="Arial" w:cs="Arial" w:eastAsia="Arial" w:hAnsi="Arial"/>
          <w:sz w:val="12"/>
          <w:szCs w:val="12"/>
          <w:color w:val="auto"/>
        </w:rPr>
        <w:t>We may choose to take advantage of some, or all, of the available exemptions. We have taken advantage of some reduced reporting burdens in this prospectus. Accordingly, the information contained herein may be different than the information you receive from other public companies in which you hold stock. The JOBS Act also permits an emerging growth company to take advantage of an extended transition period to comply with new or revised accounting standards applicable to public companies. We have elected to avail ourselves of this extended transition period and, as a result, while we are an emerging growth company we will not be subject to new or revised accounting standards at the same time that they become applicable to other public companies that are not emerging growth companies.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40"/>
          </w:cols>
          <w:pgMar w:left="220" w:top="142" w:right="439" w:bottom="1440" w:gutter="0" w:footer="0" w:header="0"/>
        </w:sectPr>
      </w:pPr>
    </w:p>
    <w:bookmarkStart w:id="12" w:name="page13"/>
    <w:bookmarkEnd w:id="12"/>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269240</wp:posOffset>
            </wp:positionV>
            <wp:extent cx="7299325" cy="257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257492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Class A common stock offered by us</w:t>
      </w:r>
    </w:p>
    <w:p>
      <w:pPr>
        <w:spacing w:after="0" w:line="141" w:lineRule="exact"/>
        <w:rPr>
          <w:sz w:val="20"/>
          <w:szCs w:val="20"/>
          <w:color w:val="auto"/>
        </w:rPr>
      </w:pPr>
    </w:p>
    <w:p>
      <w:pPr>
        <w:ind w:left="1380" w:right="320" w:hanging="119"/>
        <w:spacing w:after="0" w:line="239" w:lineRule="auto"/>
        <w:rPr>
          <w:sz w:val="20"/>
          <w:szCs w:val="20"/>
          <w:color w:val="auto"/>
        </w:rPr>
      </w:pPr>
      <w:r>
        <w:rPr>
          <w:rFonts w:ascii="Arial" w:cs="Arial" w:eastAsia="Arial" w:hAnsi="Arial"/>
          <w:sz w:val="12"/>
          <w:szCs w:val="12"/>
          <w:color w:val="auto"/>
        </w:rPr>
        <w:t>Class A common stock offered by the selling stockholders</w:t>
      </w:r>
    </w:p>
    <w:p>
      <w:pPr>
        <w:spacing w:after="0" w:line="139" w:lineRule="exact"/>
        <w:rPr>
          <w:sz w:val="20"/>
          <w:szCs w:val="20"/>
          <w:color w:val="auto"/>
        </w:rPr>
      </w:pPr>
    </w:p>
    <w:p>
      <w:pPr>
        <w:ind w:left="1380" w:right="20" w:hanging="119"/>
        <w:spacing w:after="0" w:line="239" w:lineRule="auto"/>
        <w:rPr>
          <w:sz w:val="20"/>
          <w:szCs w:val="20"/>
          <w:color w:val="auto"/>
        </w:rPr>
      </w:pPr>
      <w:r>
        <w:rPr>
          <w:rFonts w:ascii="Arial" w:cs="Arial" w:eastAsia="Arial" w:hAnsi="Arial"/>
          <w:sz w:val="12"/>
          <w:szCs w:val="12"/>
          <w:color w:val="auto"/>
        </w:rPr>
        <w:t>Class A common stock to be outstanding after this offering</w:t>
      </w:r>
    </w:p>
    <w:p>
      <w:pPr>
        <w:spacing w:after="0" w:line="139" w:lineRule="exact"/>
        <w:rPr>
          <w:sz w:val="20"/>
          <w:szCs w:val="20"/>
          <w:color w:val="auto"/>
        </w:rPr>
      </w:pPr>
    </w:p>
    <w:p>
      <w:pPr>
        <w:ind w:left="1380" w:right="20" w:hanging="119"/>
        <w:spacing w:after="0" w:line="239" w:lineRule="auto"/>
        <w:rPr>
          <w:sz w:val="20"/>
          <w:szCs w:val="20"/>
          <w:color w:val="auto"/>
        </w:rPr>
      </w:pPr>
      <w:r>
        <w:rPr>
          <w:rFonts w:ascii="Arial" w:cs="Arial" w:eastAsia="Arial" w:hAnsi="Arial"/>
          <w:sz w:val="12"/>
          <w:szCs w:val="12"/>
          <w:color w:val="auto"/>
        </w:rPr>
        <w:t>Class B common stock to be outstanding after this offering</w:t>
      </w:r>
    </w:p>
    <w:p>
      <w:pPr>
        <w:spacing w:after="0" w:line="139" w:lineRule="exact"/>
        <w:rPr>
          <w:sz w:val="20"/>
          <w:szCs w:val="20"/>
          <w:color w:val="auto"/>
        </w:rPr>
      </w:pPr>
    </w:p>
    <w:p>
      <w:pPr>
        <w:ind w:left="1380" w:hanging="119"/>
        <w:spacing w:after="0" w:line="281" w:lineRule="auto"/>
        <w:rPr>
          <w:sz w:val="20"/>
          <w:szCs w:val="20"/>
          <w:color w:val="auto"/>
        </w:rPr>
      </w:pPr>
      <w:r>
        <w:rPr>
          <w:rFonts w:ascii="Arial" w:cs="Arial" w:eastAsia="Arial" w:hAnsi="Arial"/>
          <w:sz w:val="11"/>
          <w:szCs w:val="11"/>
          <w:color w:val="auto"/>
        </w:rPr>
        <w:t>Total Class A common stock and Class B common stock to be outstanding after this offering</w:t>
      </w:r>
    </w:p>
    <w:p>
      <w:pPr>
        <w:spacing w:after="0" w:line="118" w:lineRule="exact"/>
        <w:rPr>
          <w:sz w:val="20"/>
          <w:szCs w:val="20"/>
          <w:color w:val="auto"/>
        </w:rPr>
      </w:pPr>
    </w:p>
    <w:p>
      <w:pPr>
        <w:ind w:left="1380" w:right="20" w:hanging="119"/>
        <w:spacing w:after="0" w:line="237" w:lineRule="auto"/>
        <w:rPr>
          <w:sz w:val="20"/>
          <w:szCs w:val="20"/>
          <w:color w:val="auto"/>
        </w:rPr>
      </w:pPr>
      <w:r>
        <w:rPr>
          <w:rFonts w:ascii="Arial" w:cs="Arial" w:eastAsia="Arial" w:hAnsi="Arial"/>
          <w:sz w:val="12"/>
          <w:szCs w:val="12"/>
          <w:color w:val="auto"/>
        </w:rPr>
        <w:t>Option to purchase additional shares of Class A common stock from us and certain of the selling stockholders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THE OFFERING</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2,500,000 shares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6,900,000 shares</w:t>
      </w:r>
    </w:p>
    <w:p>
      <w:pPr>
        <w:spacing w:after="0" w:line="141" w:lineRule="exact"/>
        <w:rPr>
          <w:sz w:val="20"/>
          <w:szCs w:val="20"/>
          <w:color w:val="auto"/>
        </w:rPr>
      </w:pPr>
    </w:p>
    <w:p>
      <w:pPr>
        <w:ind w:right="79"/>
        <w:spacing w:after="0" w:line="239" w:lineRule="auto"/>
        <w:rPr>
          <w:sz w:val="20"/>
          <w:szCs w:val="20"/>
          <w:color w:val="auto"/>
        </w:rPr>
      </w:pPr>
      <w:r>
        <w:rPr>
          <w:rFonts w:ascii="Arial" w:cs="Arial" w:eastAsia="Arial" w:hAnsi="Arial"/>
          <w:sz w:val="12"/>
          <w:szCs w:val="12"/>
          <w:color w:val="auto"/>
        </w:rPr>
        <w:t>77,145,294 shares (or 77,850,294 shares if the underwriters option to purchase additional shares is exercised in full)</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28,161,232 shares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105,306,526 shares</w:t>
      </w:r>
    </w:p>
    <w:p>
      <w:pPr>
        <w:spacing w:after="0" w:line="141" w:lineRule="exact"/>
        <w:rPr>
          <w:sz w:val="20"/>
          <w:szCs w:val="20"/>
          <w:color w:val="auto"/>
        </w:rPr>
      </w:pPr>
    </w:p>
    <w:p>
      <w:pPr>
        <w:ind w:right="59"/>
        <w:spacing w:after="0" w:line="237" w:lineRule="auto"/>
        <w:rPr>
          <w:sz w:val="20"/>
          <w:szCs w:val="20"/>
          <w:color w:val="auto"/>
        </w:rPr>
      </w:pPr>
      <w:r>
        <w:rPr>
          <w:rFonts w:ascii="Arial" w:cs="Arial" w:eastAsia="Arial" w:hAnsi="Arial"/>
          <w:sz w:val="12"/>
          <w:szCs w:val="12"/>
          <w:color w:val="auto"/>
        </w:rPr>
        <w:t>We and the selling stockholders have granted the underwriters an option, exercisable for 30 days after the date of this prospectus, to purchase up to 705,000 additional shares of Class A common stock from us and up to 705,000 shares of Class A common stock from the selling stockholders.</w:t>
      </w:r>
    </w:p>
    <w:p>
      <w:pPr>
        <w:spacing w:after="0" w:line="141" w:lineRule="exact"/>
        <w:rPr>
          <w:sz w:val="20"/>
          <w:szCs w:val="20"/>
          <w:color w:val="auto"/>
        </w:rPr>
      </w:pPr>
    </w:p>
    <w:p>
      <w:pPr>
        <w:ind w:right="179"/>
        <w:spacing w:after="0" w:line="237" w:lineRule="auto"/>
        <w:rPr>
          <w:sz w:val="20"/>
          <w:szCs w:val="20"/>
          <w:color w:val="auto"/>
        </w:rPr>
      </w:pPr>
      <w:r>
        <w:rPr>
          <w:rFonts w:ascii="Arial" w:cs="Arial" w:eastAsia="Arial" w:hAnsi="Arial"/>
          <w:sz w:val="12"/>
          <w:szCs w:val="12"/>
          <w:color w:val="auto"/>
        </w:rPr>
        <w:t>We estimate that our net proceeds from the sale of our Class A common stock that we are offering will be approximately $33.1 million (or approximately $43.6 million if the underwriters' option to purchase additional shares in this offering is exercised in full), after deducting the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880" w:space="620"/>
            <w:col w:w="5739"/>
          </w:cols>
          <w:pgMar w:left="220" w:top="142" w:right="1440" w:bottom="1440" w:gutter="0" w:footer="0" w:header="0"/>
          <w:type w:val="continuous"/>
        </w:sect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9"/>
          <w:szCs w:val="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106680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type w:val="continuous"/>
        </w:sectPr>
      </w:pPr>
    </w:p>
    <w:bookmarkStart w:id="13" w:name="page14"/>
    <w:bookmarkEnd w:id="13"/>
    <w:p>
      <w:pPr>
        <w:ind w:left="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22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2"/>
                <w:szCs w:val="12"/>
                <w:color w:val="auto"/>
              </w:rPr>
              <w:t>The principal purposes of this offering are to increase our financial flexibility, improve our visibility in the</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marketplace, create a public market for our Class A common stock, and facilitate our future access to the</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public capital markets. We currently intend to use the net proceeds from this offering primarily for general</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corporate purposes, including working capital, operating expenses, and capital expenditures. We may also</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use a portion of the net proceeds to acquire or invest in complementary technologies, solutions, products,</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services, businesses, or other assets, although we have no present commitments or agreements to enter into</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any acquisitions or investments. We will not receive any of the proceeds from the sale of Class A common</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stock in this offering by the selling stockholders, including any proceeds from the sale of up to 705,000 shares</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by the selling stockholders if the underwriters' option to purchase additional shares is exercised in full. See</w:t>
            </w:r>
          </w:p>
        </w:tc>
      </w:tr>
      <w:tr>
        <w:trPr>
          <w:trHeight w:val="140"/>
        </w:trPr>
        <w:tc>
          <w:tcPr>
            <w:tcW w:w="3220" w:type="dxa"/>
            <w:vAlign w:val="bottom"/>
            <w:tcBorders>
              <w:left w:val="single" w:sz="8" w:color="auto"/>
            </w:tcBorders>
          </w:tcPr>
          <w:p>
            <w:pPr>
              <w:spacing w:after="0"/>
              <w:rPr>
                <w:sz w:val="12"/>
                <w:szCs w:val="12"/>
                <w:color w:val="auto"/>
              </w:rPr>
            </w:pPr>
          </w:p>
        </w:tc>
        <w:tc>
          <w:tcPr>
            <w:tcW w:w="8280" w:type="dxa"/>
            <w:vAlign w:val="bottom"/>
            <w:tcBorders>
              <w:right w:val="single" w:sz="8" w:color="auto"/>
            </w:tcBorders>
          </w:tcPr>
          <w:p>
            <w:pPr>
              <w:ind w:left="1300"/>
              <w:spacing w:after="0"/>
              <w:rPr>
                <w:sz w:val="20"/>
                <w:szCs w:val="20"/>
                <w:color w:val="auto"/>
              </w:rPr>
            </w:pPr>
            <w:r>
              <w:rPr>
                <w:rFonts w:ascii="Arial" w:cs="Arial" w:eastAsia="Arial" w:hAnsi="Arial"/>
                <w:sz w:val="12"/>
                <w:szCs w:val="12"/>
                <w:color w:val="auto"/>
              </w:rPr>
              <w:t>"Use of Proceeds" for additional information.</w:t>
            </w:r>
          </w:p>
        </w:tc>
      </w:tr>
      <w:tr>
        <w:trPr>
          <w:trHeight w:val="274"/>
        </w:trPr>
        <w:tc>
          <w:tcPr>
            <w:tcW w:w="322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Voting rights</w:t>
            </w:r>
          </w:p>
        </w:tc>
        <w:tc>
          <w:tcPr>
            <w:tcW w:w="8280" w:type="dxa"/>
            <w:vAlign w:val="bottom"/>
            <w:tcBorders>
              <w:right w:val="single" w:sz="8" w:color="auto"/>
            </w:tcBorders>
          </w:tcPr>
          <w:p>
            <w:pPr>
              <w:ind w:left="1300"/>
              <w:spacing w:after="0"/>
              <w:rPr>
                <w:sz w:val="20"/>
                <w:szCs w:val="20"/>
                <w:color w:val="auto"/>
              </w:rPr>
            </w:pPr>
            <w:r>
              <w:rPr>
                <w:rFonts w:ascii="Arial" w:cs="Arial" w:eastAsia="Arial" w:hAnsi="Arial"/>
                <w:sz w:val="12"/>
                <w:szCs w:val="12"/>
                <w:color w:val="auto"/>
              </w:rPr>
              <w:t>Following this offering, we will have two classes of authorized common stock, Class A common stock and</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Class B common stock. Each share of Class A common stock is entitled to one vote per share. Each share of</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Class B common stock is entitled to ten votes per share and is convertible into one share of Class A common</w:t>
            </w:r>
          </w:p>
        </w:tc>
      </w:tr>
      <w:tr>
        <w:trPr>
          <w:trHeight w:val="140"/>
        </w:trPr>
        <w:tc>
          <w:tcPr>
            <w:tcW w:w="3220" w:type="dxa"/>
            <w:vAlign w:val="bottom"/>
            <w:tcBorders>
              <w:left w:val="single" w:sz="8" w:color="auto"/>
            </w:tcBorders>
          </w:tcPr>
          <w:p>
            <w:pPr>
              <w:spacing w:after="0"/>
              <w:rPr>
                <w:sz w:val="12"/>
                <w:szCs w:val="12"/>
                <w:color w:val="auto"/>
              </w:rPr>
            </w:pPr>
          </w:p>
        </w:tc>
        <w:tc>
          <w:tcPr>
            <w:tcW w:w="8280" w:type="dxa"/>
            <w:vAlign w:val="bottom"/>
            <w:tcBorders>
              <w:right w:val="single" w:sz="8" w:color="auto"/>
            </w:tcBorders>
          </w:tcPr>
          <w:p>
            <w:pPr>
              <w:ind w:left="1300"/>
              <w:spacing w:after="0"/>
              <w:rPr>
                <w:sz w:val="20"/>
                <w:szCs w:val="20"/>
                <w:color w:val="auto"/>
              </w:rPr>
            </w:pPr>
            <w:r>
              <w:rPr>
                <w:rFonts w:ascii="Arial" w:cs="Arial" w:eastAsia="Arial" w:hAnsi="Arial"/>
                <w:sz w:val="12"/>
                <w:szCs w:val="12"/>
                <w:color w:val="auto"/>
              </w:rPr>
              <w:t>stock.</w:t>
            </w:r>
          </w:p>
        </w:tc>
      </w:tr>
      <w:tr>
        <w:trPr>
          <w:trHeight w:val="274"/>
        </w:trPr>
        <w:tc>
          <w:tcPr>
            <w:tcW w:w="3220" w:type="dxa"/>
            <w:vAlign w:val="bottom"/>
            <w:tcBorders>
              <w:left w:val="single" w:sz="8" w:color="auto"/>
            </w:tcBorders>
          </w:tcPr>
          <w:p>
            <w:pPr>
              <w:spacing w:after="0"/>
              <w:rPr>
                <w:sz w:val="23"/>
                <w:szCs w:val="23"/>
                <w:color w:val="auto"/>
              </w:rPr>
            </w:pPr>
          </w:p>
        </w:tc>
        <w:tc>
          <w:tcPr>
            <w:tcW w:w="8280" w:type="dxa"/>
            <w:vAlign w:val="bottom"/>
            <w:tcBorders>
              <w:right w:val="single" w:sz="8" w:color="auto"/>
            </w:tcBorders>
          </w:tcPr>
          <w:p>
            <w:pPr>
              <w:ind w:left="1300"/>
              <w:spacing w:after="0"/>
              <w:rPr>
                <w:sz w:val="20"/>
                <w:szCs w:val="20"/>
                <w:color w:val="auto"/>
              </w:rPr>
            </w:pPr>
            <w:r>
              <w:rPr>
                <w:rFonts w:ascii="Arial" w:cs="Arial" w:eastAsia="Arial" w:hAnsi="Arial"/>
                <w:sz w:val="12"/>
                <w:szCs w:val="12"/>
                <w:color w:val="auto"/>
              </w:rPr>
              <w:t>Holders of our Class A common stock and Class B common stock will generally vote together as a single</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class, unless otherwise required by Delaware law or our amended and restated certificate of incorporation that</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will become effective upon the closing of this offering. Following this offering, our founder, Chief Executive</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Officer, President, and Chairman, Langley Steinert, will hold or have the ability to control approximately 53%</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of the voting power of our outstanding capital stock. As a result, we will be a "controlled company" within the</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meaning of the corporate governance rules for the NASDAQ Stock Market and Mr. Steinert will have the ability</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to control the outcome of matters submitted to our stockholders for approval, including the election of our</w:t>
            </w:r>
          </w:p>
        </w:tc>
      </w:tr>
      <w:tr>
        <w:trPr>
          <w:trHeight w:val="135"/>
        </w:trPr>
        <w:tc>
          <w:tcPr>
            <w:tcW w:w="3220" w:type="dxa"/>
            <w:vAlign w:val="bottom"/>
            <w:tcBorders>
              <w:left w:val="single" w:sz="8" w:color="auto"/>
            </w:tcBorders>
          </w:tcPr>
          <w:p>
            <w:pPr>
              <w:spacing w:after="0"/>
              <w:rPr>
                <w:sz w:val="11"/>
                <w:szCs w:val="11"/>
                <w:color w:val="auto"/>
              </w:rPr>
            </w:pPr>
          </w:p>
        </w:tc>
        <w:tc>
          <w:tcPr>
            <w:tcW w:w="8280" w:type="dxa"/>
            <w:vAlign w:val="bottom"/>
            <w:tcBorders>
              <w:right w:val="single" w:sz="8" w:color="auto"/>
            </w:tcBorders>
          </w:tcPr>
          <w:p>
            <w:pPr>
              <w:ind w:left="1300"/>
              <w:spacing w:after="0" w:line="135" w:lineRule="exact"/>
              <w:rPr>
                <w:sz w:val="20"/>
                <w:szCs w:val="20"/>
                <w:color w:val="auto"/>
              </w:rPr>
            </w:pPr>
            <w:r>
              <w:rPr>
                <w:rFonts w:ascii="Arial" w:cs="Arial" w:eastAsia="Arial" w:hAnsi="Arial"/>
                <w:sz w:val="12"/>
                <w:szCs w:val="12"/>
                <w:color w:val="auto"/>
              </w:rPr>
              <w:t>directors and the approval of any change in control transaction. See the sections titled "Principal and Selling</w:t>
            </w:r>
          </w:p>
        </w:tc>
      </w:tr>
      <w:tr>
        <w:trPr>
          <w:trHeight w:val="140"/>
        </w:trPr>
        <w:tc>
          <w:tcPr>
            <w:tcW w:w="3220" w:type="dxa"/>
            <w:vAlign w:val="bottom"/>
            <w:tcBorders>
              <w:left w:val="single" w:sz="8" w:color="auto"/>
            </w:tcBorders>
          </w:tcPr>
          <w:p>
            <w:pPr>
              <w:spacing w:after="0"/>
              <w:rPr>
                <w:sz w:val="12"/>
                <w:szCs w:val="12"/>
                <w:color w:val="auto"/>
              </w:rPr>
            </w:pPr>
          </w:p>
        </w:tc>
        <w:tc>
          <w:tcPr>
            <w:tcW w:w="8280" w:type="dxa"/>
            <w:vAlign w:val="bottom"/>
            <w:tcBorders>
              <w:right w:val="single" w:sz="8" w:color="auto"/>
            </w:tcBorders>
          </w:tcPr>
          <w:p>
            <w:pPr>
              <w:ind w:left="1300"/>
              <w:spacing w:after="0"/>
              <w:rPr>
                <w:sz w:val="20"/>
                <w:szCs w:val="20"/>
                <w:color w:val="auto"/>
              </w:rPr>
            </w:pPr>
            <w:r>
              <w:rPr>
                <w:rFonts w:ascii="Arial" w:cs="Arial" w:eastAsia="Arial" w:hAnsi="Arial"/>
                <w:sz w:val="12"/>
                <w:szCs w:val="12"/>
                <w:color w:val="auto"/>
              </w:rPr>
              <w:t>Stockholders" and "Description of Capital Stock" for additional information.</w:t>
            </w:r>
          </w:p>
        </w:tc>
      </w:tr>
      <w:tr>
        <w:trPr>
          <w:trHeight w:val="285"/>
        </w:trPr>
        <w:tc>
          <w:tcPr>
            <w:tcW w:w="3220" w:type="dxa"/>
            <w:vAlign w:val="bottom"/>
            <w:tcBorders>
              <w:left w:val="single" w:sz="8" w:color="auto"/>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r>
        <w:trPr>
          <w:trHeight w:val="281"/>
        </w:trPr>
        <w:tc>
          <w:tcPr>
            <w:tcW w:w="322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2"/>
                <w:szCs w:val="12"/>
                <w:color w:val="auto"/>
              </w:rPr>
              <w:t>10</w:t>
            </w:r>
          </w:p>
        </w:tc>
      </w:tr>
      <w:tr>
        <w:trPr>
          <w:trHeight w:val="141"/>
        </w:trPr>
        <w:tc>
          <w:tcPr>
            <w:tcW w:w="3220" w:type="dxa"/>
            <w:vAlign w:val="bottom"/>
            <w:tcBorders>
              <w:bottom w:val="single" w:sz="8" w:color="808080"/>
            </w:tcBorders>
          </w:tcPr>
          <w:p>
            <w:pPr>
              <w:spacing w:after="0"/>
              <w:rPr>
                <w:sz w:val="12"/>
                <w:szCs w:val="12"/>
                <w:color w:val="auto"/>
              </w:rPr>
            </w:pPr>
          </w:p>
        </w:tc>
        <w:tc>
          <w:tcPr>
            <w:tcW w:w="82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-11430</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-11430</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00" w:top="142" w:right="199" w:bottom="1440" w:gutter="0" w:footer="0" w:header="0"/>
        </w:sectPr>
      </w:pPr>
    </w:p>
    <w:bookmarkStart w:id="14" w:name="page15"/>
    <w:bookmarkEnd w:id="14"/>
    <w:p>
      <w:pPr>
        <w:ind w:left="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4100" w:type="dxa"/>
            <w:vAlign w:val="bottom"/>
            <w:tcBorders>
              <w:top w:val="single" w:sz="8" w:color="auto"/>
              <w:left w:val="single" w:sz="8" w:color="auto"/>
            </w:tcBorders>
          </w:tcPr>
          <w:p>
            <w:pPr>
              <w:ind w:left="1280"/>
              <w:spacing w:after="0"/>
              <w:rPr>
                <w:sz w:val="20"/>
                <w:szCs w:val="20"/>
                <w:color w:val="auto"/>
              </w:rPr>
            </w:pPr>
            <w:r>
              <w:rPr>
                <w:rFonts w:ascii="Arial" w:cs="Arial" w:eastAsia="Arial" w:hAnsi="Arial"/>
                <w:sz w:val="12"/>
                <w:szCs w:val="12"/>
                <w:color w:val="auto"/>
              </w:rPr>
              <w:t>Concentration of ownership</w:t>
            </w:r>
          </w:p>
        </w:tc>
        <w:tc>
          <w:tcPr>
            <w:tcW w:w="74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Upon the closing of this offering, the outstanding Class B common stock will represent 26.7% of our</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outstanding shares and approximately 78.5% of the voting power of our outstanding shares, and our executive</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officers, directors, and stockholders holding more than 5% of our outstanding shares, together with their</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affiliates, will beneficially own, in the aggregate, approximately 73.0% of our outstanding shares and 75.3% of</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the voting power of our outstanding shares. Our founder, Chief Executive Officer, President, and Chairman,</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Langley Steinert, will hold or have the ability to control approximately 53% of the voting power of our</w:t>
            </w:r>
          </w:p>
        </w:tc>
      </w:tr>
      <w:tr>
        <w:trPr>
          <w:trHeight w:val="140"/>
        </w:trPr>
        <w:tc>
          <w:tcPr>
            <w:tcW w:w="4100" w:type="dxa"/>
            <w:vAlign w:val="bottom"/>
            <w:tcBorders>
              <w:left w:val="single" w:sz="8" w:color="auto"/>
            </w:tcBorders>
          </w:tcPr>
          <w:p>
            <w:pPr>
              <w:spacing w:after="0"/>
              <w:rPr>
                <w:sz w:val="12"/>
                <w:szCs w:val="12"/>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outstanding capital stock following this offering.</w:t>
            </w:r>
          </w:p>
        </w:tc>
      </w:tr>
      <w:tr>
        <w:trPr>
          <w:trHeight w:val="274"/>
        </w:trPr>
        <w:tc>
          <w:tcPr>
            <w:tcW w:w="410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Conflicts of Interest</w:t>
            </w: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Allen &amp; Company LLC, an underwriter in this offering, and its associated persons, including Ian Smith, a</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member of our board of directors, beneficially own 71,685 shares of our outstanding Series A preferred stock,</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1,128,994 shares of our outstanding Series B preferred stock, and 163,331 shares of our outstanding</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Series C preferred stock, collectively representing 13.5% of our outstanding preferred stock, which shares of</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preferred stock will automatically convert into 8,184,061 shares of Class A common stock upon the closing of</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this offering. Because Allen &amp; Company LLC is an underwriter in this offering and because Allen &amp;</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Company LLC and its associated persons beneficially own more than 10% of our outstanding preferred stock,</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Allen &amp; Company LLC is deemed to have a "conflict of interest" under Rule 5121, which we refer to herein as</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Rule 5121, of the Financial Industry Regulatory Authority, Inc., or FINRA. Accordingly, this offering will be</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conducted in accordance with the applicable provisions of Rule 5121, which requires, among other things, that</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a "qualified independent underwriter" as defined by Rule 5121 has participated in the preparation of, and has</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exercised the usual standards of "due diligence" with respect to, the registration statement and this</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prospectus. Goldman Sachs &amp; Co. LLC has agreed to act as qualified independent underwriter within the</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meaning of Rule 5121 for this offering and to undertake the legal responsibilities and liabilities of an</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underwriter under the Securities Act of 1933, as amended, or the Securities Act, specifically including those</w:t>
            </w:r>
          </w:p>
        </w:tc>
      </w:tr>
      <w:tr>
        <w:trPr>
          <w:trHeight w:val="140"/>
        </w:trPr>
        <w:tc>
          <w:tcPr>
            <w:tcW w:w="4100" w:type="dxa"/>
            <w:vAlign w:val="bottom"/>
            <w:tcBorders>
              <w:left w:val="single" w:sz="8" w:color="auto"/>
            </w:tcBorders>
          </w:tcPr>
          <w:p>
            <w:pPr>
              <w:spacing w:after="0"/>
              <w:rPr>
                <w:sz w:val="12"/>
                <w:szCs w:val="12"/>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inherent in Section 11 of the Securities Act. See "Underwriting (Conflicts of Interest)."</w:t>
            </w:r>
          </w:p>
        </w:tc>
      </w:tr>
      <w:tr>
        <w:trPr>
          <w:trHeight w:val="274"/>
        </w:trPr>
        <w:tc>
          <w:tcPr>
            <w:tcW w:w="410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Risk factors</w:t>
            </w: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You should read the "Risk Factors" section beginning on page 17 and the other information included in this</w:t>
            </w:r>
          </w:p>
        </w:tc>
      </w:tr>
      <w:tr>
        <w:trPr>
          <w:trHeight w:val="135"/>
        </w:trPr>
        <w:tc>
          <w:tcPr>
            <w:tcW w:w="4100" w:type="dxa"/>
            <w:vAlign w:val="bottom"/>
            <w:tcBorders>
              <w:left w:val="single" w:sz="8" w:color="auto"/>
            </w:tcBorders>
          </w:tcPr>
          <w:p>
            <w:pPr>
              <w:spacing w:after="0"/>
              <w:rPr>
                <w:sz w:val="11"/>
                <w:szCs w:val="11"/>
                <w:color w:val="auto"/>
              </w:rPr>
            </w:pPr>
          </w:p>
        </w:tc>
        <w:tc>
          <w:tcPr>
            <w:tcW w:w="7400" w:type="dxa"/>
            <w:vAlign w:val="bottom"/>
            <w:tcBorders>
              <w:right w:val="single" w:sz="8" w:color="auto"/>
            </w:tcBorders>
          </w:tcPr>
          <w:p>
            <w:pPr>
              <w:ind w:left="420"/>
              <w:spacing w:after="0" w:line="135" w:lineRule="exact"/>
              <w:rPr>
                <w:sz w:val="20"/>
                <w:szCs w:val="20"/>
                <w:color w:val="auto"/>
              </w:rPr>
            </w:pPr>
            <w:r>
              <w:rPr>
                <w:rFonts w:ascii="Arial" w:cs="Arial" w:eastAsia="Arial" w:hAnsi="Arial"/>
                <w:sz w:val="12"/>
                <w:szCs w:val="12"/>
                <w:color w:val="auto"/>
              </w:rPr>
              <w:t>prospectus for a discussion of factors to consider before deciding to invest in shares of our Class A common</w:t>
            </w:r>
          </w:p>
        </w:tc>
      </w:tr>
      <w:tr>
        <w:trPr>
          <w:trHeight w:val="140"/>
        </w:trPr>
        <w:tc>
          <w:tcPr>
            <w:tcW w:w="4100" w:type="dxa"/>
            <w:vAlign w:val="bottom"/>
            <w:tcBorders>
              <w:left w:val="single" w:sz="8" w:color="auto"/>
            </w:tcBorders>
          </w:tcPr>
          <w:p>
            <w:pPr>
              <w:spacing w:after="0"/>
              <w:rPr>
                <w:sz w:val="12"/>
                <w:szCs w:val="12"/>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stock.</w:t>
            </w:r>
          </w:p>
        </w:tc>
      </w:tr>
      <w:tr>
        <w:trPr>
          <w:trHeight w:val="279"/>
        </w:trPr>
        <w:tc>
          <w:tcPr>
            <w:tcW w:w="410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NASDAQ Global Select Market trading symbol</w:t>
            </w: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"CARG"</w:t>
            </w:r>
          </w:p>
        </w:tc>
      </w:tr>
      <w:tr>
        <w:trPr>
          <w:trHeight w:val="141"/>
        </w:trPr>
        <w:tc>
          <w:tcPr>
            <w:tcW w:w="4100" w:type="dxa"/>
            <w:vAlign w:val="bottom"/>
            <w:tcBorders>
              <w:left w:val="single" w:sz="8" w:color="auto"/>
              <w:bottom w:val="single" w:sz="8" w:color="auto"/>
            </w:tcBorders>
          </w:tcPr>
          <w:p>
            <w:pPr>
              <w:spacing w:after="0"/>
              <w:rPr>
                <w:sz w:val="12"/>
                <w:szCs w:val="12"/>
                <w:color w:val="auto"/>
              </w:rPr>
            </w:pPr>
          </w:p>
        </w:tc>
        <w:tc>
          <w:tcPr>
            <w:tcW w:w="7400" w:type="dxa"/>
            <w:vAlign w:val="bottom"/>
            <w:tcBorders>
              <w:bottom w:val="single" w:sz="8" w:color="auto"/>
              <w:right w:val="single" w:sz="8" w:color="auto"/>
            </w:tcBorders>
          </w:tcPr>
          <w:p>
            <w:pPr>
              <w:spacing w:after="0"/>
              <w:rPr>
                <w:sz w:val="12"/>
                <w:szCs w:val="12"/>
                <w:color w:val="auto"/>
              </w:rPr>
            </w:pPr>
          </w:p>
        </w:tc>
      </w:tr>
      <w:tr>
        <w:trPr>
          <w:trHeight w:val="281"/>
        </w:trPr>
        <w:tc>
          <w:tcPr>
            <w:tcW w:w="4100" w:type="dxa"/>
            <w:vAlign w:val="bottom"/>
          </w:tcPr>
          <w:p>
            <w:pPr>
              <w:spacing w:after="0"/>
              <w:rPr>
                <w:sz w:val="24"/>
                <w:szCs w:val="24"/>
                <w:color w:val="auto"/>
              </w:rPr>
            </w:pPr>
          </w:p>
        </w:tc>
        <w:tc>
          <w:tcPr>
            <w:tcW w:w="7400" w:type="dxa"/>
            <w:vAlign w:val="bottom"/>
          </w:tcPr>
          <w:p>
            <w:pPr>
              <w:ind w:left="1580"/>
              <w:spacing w:after="0"/>
              <w:rPr>
                <w:sz w:val="20"/>
                <w:szCs w:val="20"/>
                <w:color w:val="auto"/>
              </w:rPr>
            </w:pPr>
            <w:r>
              <w:rPr>
                <w:rFonts w:ascii="Arial" w:cs="Arial" w:eastAsia="Arial" w:hAnsi="Arial"/>
                <w:sz w:val="12"/>
                <w:szCs w:val="12"/>
                <w:color w:val="auto"/>
              </w:rPr>
              <w:t>11</w:t>
            </w:r>
          </w:p>
        </w:tc>
      </w:tr>
      <w:tr>
        <w:trPr>
          <w:trHeight w:val="141"/>
        </w:trPr>
        <w:tc>
          <w:tcPr>
            <w:tcW w:w="4100" w:type="dxa"/>
            <w:vAlign w:val="bottom"/>
            <w:tcBorders>
              <w:bottom w:val="single" w:sz="8" w:color="808080"/>
            </w:tcBorders>
          </w:tcPr>
          <w:p>
            <w:pPr>
              <w:spacing w:after="0"/>
              <w:rPr>
                <w:sz w:val="12"/>
                <w:szCs w:val="12"/>
                <w:color w:val="auto"/>
              </w:rPr>
            </w:pPr>
          </w:p>
        </w:tc>
        <w:tc>
          <w:tcPr>
            <w:tcW w:w="74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00" w:top="142" w:right="1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08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30841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0" w:right="120" w:firstLine="323"/>
        <w:spacing w:after="0" w:line="237" w:lineRule="auto"/>
        <w:rPr>
          <w:sz w:val="20"/>
          <w:szCs w:val="20"/>
          <w:color w:val="auto"/>
        </w:rPr>
      </w:pPr>
      <w:r>
        <w:rPr>
          <w:rFonts w:ascii="Arial" w:cs="Arial" w:eastAsia="Arial" w:hAnsi="Arial"/>
          <w:sz w:val="12"/>
          <w:szCs w:val="12"/>
          <w:color w:val="auto"/>
        </w:rPr>
        <w:t>The number of shares of our Class A common stock and Class B common stock that will be outstanding after this offering is based on 74,645,294 shares of our Class A common stock outstanding and 28,161,232 shares of our Class B common stock outstanding, in each case, as of June 30, 2017 (assuming the automatic conversion of all outstanding shares of our preferred stock into an aggregate of 60,564,678 shares of Class A common stock upon the closing of this offering), and excludes:</w:t>
      </w:r>
    </w:p>
    <w:p>
      <w:pPr>
        <w:spacing w:after="0" w:line="150" w:lineRule="exact"/>
        <w:rPr>
          <w:sz w:val="20"/>
          <w:szCs w:val="20"/>
          <w:color w:val="auto"/>
        </w:rPr>
      </w:pPr>
    </w:p>
    <w:p>
      <w:pPr>
        <w:ind w:left="860" w:right="180" w:hanging="352"/>
        <w:spacing w:after="0" w:line="239" w:lineRule="auto"/>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1,737,056 shares of Class A common stock issuable upon the exercise of options outstanding as of June 30, 2017 with a weighted-average exercise price of $1.65 per share and 3,474,112 shares of Class B common stock issuable upon the exercise of options outstanding as of June 30, 2017 with a weighted-average exercise price of $1.65 per share;</w:t>
      </w:r>
    </w:p>
    <w:p>
      <w:pPr>
        <w:spacing w:after="0" w:line="130" w:lineRule="exact"/>
        <w:rPr>
          <w:rFonts w:ascii="Arial" w:cs="Arial" w:eastAsia="Arial" w:hAnsi="Arial"/>
          <w:sz w:val="12"/>
          <w:szCs w:val="12"/>
          <w:color w:val="auto"/>
        </w:rPr>
      </w:pPr>
    </w:p>
    <w:p>
      <w:pPr>
        <w:ind w:left="860" w:right="100" w:hanging="352"/>
        <w:spacing w:after="0" w:line="239" w:lineRule="auto"/>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789,934 shares of Class A common stock and 1,579,868 shares of Class B common stock issuable upon the vesting and settlement of restricted stock units, or RSUs, outstanding as of June 30, 2017; and</w:t>
      </w:r>
    </w:p>
    <w:p>
      <w:pPr>
        <w:spacing w:after="0" w:line="130" w:lineRule="exact"/>
        <w:rPr>
          <w:rFonts w:ascii="Arial" w:cs="Arial" w:eastAsia="Arial" w:hAnsi="Arial"/>
          <w:sz w:val="12"/>
          <w:szCs w:val="12"/>
          <w:color w:val="auto"/>
        </w:rPr>
      </w:pPr>
    </w:p>
    <w:p>
      <w:pPr>
        <w:ind w:left="860" w:right="220" w:hanging="352"/>
        <w:spacing w:after="0" w:line="237" w:lineRule="auto"/>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8,457,912 shares of Class A common stock reserved for future issuance under our equity compensation plans, consisting of (i) 657,912 shares of Class A common stock reserved for future issuance under our Amended and Restated 2015 Equity Incentive Plan, as amended, or the 2015 Plan, as of June 30, 2017, plus (ii) 7,800,000 additional shares of Class A common stock reserved for future issuance under our Omnibus Incentive Compensation Plan, or our 2017 Plan, which will become effective upon the closing of this offering.</w:t>
      </w:r>
    </w:p>
    <w:p>
      <w:pPr>
        <w:spacing w:after="0" w:line="141" w:lineRule="exact"/>
        <w:rPr>
          <w:sz w:val="20"/>
          <w:szCs w:val="20"/>
          <w:color w:val="auto"/>
        </w:rPr>
      </w:pPr>
    </w:p>
    <w:p>
      <w:pPr>
        <w:ind w:left="140" w:right="60" w:firstLine="325"/>
        <w:spacing w:after="0" w:line="236" w:lineRule="auto"/>
        <w:rPr>
          <w:sz w:val="20"/>
          <w:szCs w:val="20"/>
          <w:color w:val="auto"/>
        </w:rPr>
      </w:pPr>
      <w:r>
        <w:rPr>
          <w:rFonts w:ascii="Arial" w:cs="Arial" w:eastAsia="Arial" w:hAnsi="Arial"/>
          <w:sz w:val="12"/>
          <w:szCs w:val="12"/>
          <w:color w:val="auto"/>
        </w:rPr>
        <w:t>Immediately prior to the closing of this offering, any remaining shares available for issuance under our 2015 Plan will be added to the shares of our Class A common stock reserved for issuance under our 2017 Plan, and we will cease granting awards under the 2015 Plan. In addition, shares of Class A common stock and shares of Class B common stock subject to outstanding grants under our 2015 Plan as of the effective date of our 2017 Plan that terminate, expire, or are cancelled, forfeited, exchanged, or surrendered on or after the effective date of our 2017 Plan without having been exercised, vested, or paid prior to the effective date of the 2017 Plan, including shares tendered or withheld to satisfy tax withholding obligations with respect to outstanding grants under the 2015 Plan, will be added to the shares of Class A common stock reserved for issuance under our 2017 Plan. See the section titled "Executive Compensation — Employee Benefits and Stock Plans" for additional information.</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addition, unless otherwise noted, the information in this prospectus reflects and assumes the following:</w:t>
      </w:r>
    </w:p>
    <w:p>
      <w:pPr>
        <w:spacing w:after="0" w:line="150" w:lineRule="exact"/>
        <w:rPr>
          <w:sz w:val="20"/>
          <w:szCs w:val="20"/>
          <w:color w:val="auto"/>
        </w:rPr>
      </w:pPr>
    </w:p>
    <w:p>
      <w:pPr>
        <w:ind w:left="860" w:hanging="35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filing and effectiveness of our amended and restated certificate of incorporation and the adoption of our amended and restated bylaws, each of which will occur upon the closing of this offering;</w:t>
      </w:r>
    </w:p>
    <w:p>
      <w:pPr>
        <w:spacing w:after="0" w:line="132" w:lineRule="exact"/>
        <w:rPr>
          <w:rFonts w:ascii="Arial" w:cs="Arial" w:eastAsia="Arial" w:hAnsi="Arial"/>
          <w:sz w:val="12"/>
          <w:szCs w:val="12"/>
          <w:color w:val="auto"/>
        </w:rPr>
      </w:pPr>
    </w:p>
    <w:p>
      <w:pPr>
        <w:ind w:left="860" w:hanging="35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 exercise of outstanding options or settlement of outstanding RSUs after June 30, 2017;</w:t>
      </w:r>
    </w:p>
    <w:p>
      <w:pPr>
        <w:spacing w:after="0" w:line="132" w:lineRule="exact"/>
        <w:rPr>
          <w:rFonts w:ascii="Arial" w:cs="Arial" w:eastAsia="Arial" w:hAnsi="Arial"/>
          <w:sz w:val="12"/>
          <w:szCs w:val="12"/>
          <w:color w:val="auto"/>
        </w:rPr>
      </w:pPr>
    </w:p>
    <w:p>
      <w:pPr>
        <w:ind w:left="860" w:hanging="352"/>
        <w:spacing w:after="0" w:line="262" w:lineRule="auto"/>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retroactive adjustment to all periods herein of all share and per share information to reflect the share recapitalization effected on June 21, 2017, pursuant to which (i) each share of common stock then issued and outstanding was recapitalized, reclassified, and reconstituted into two fully paid and non-assessable shares of outstanding Class A common stock and four fully paid and non-assessable shares of outstanding Class B common stock, (ii) each outstanding common stock option was adjusted such that (a) each share of common stock underlying such option became two shares of Class A common stock and four shares of Class B common stock and (b) the exercise price per share of common stock underlying such option was adjusted to be one-sixth of the exercise price per share in effect immediately prior to the recapitalization, and (iii) each outstanding RSU was adjusted such that (a) each share of common stock issuable upon settlement of such RSU became two</w:t>
      </w: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082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0820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60"/>
        <w:spacing w:after="0" w:line="239" w:lineRule="auto"/>
        <w:rPr>
          <w:sz w:val="20"/>
          <w:szCs w:val="20"/>
          <w:color w:val="auto"/>
        </w:rPr>
      </w:pPr>
      <w:r>
        <w:rPr>
          <w:rFonts w:ascii="Arial" w:cs="Arial" w:eastAsia="Arial" w:hAnsi="Arial"/>
          <w:sz w:val="12"/>
          <w:szCs w:val="12"/>
          <w:color w:val="auto"/>
        </w:rPr>
        <w:t>shares of Class A common stock and four shares of Class B common stock and (b) the fair market value per share of common stock issuable upon settlement of such RSU was adjusted to be one-sixth of the fair market value per share in effect immediately prior to the recapitalization;</w:t>
      </w:r>
    </w:p>
    <w:p>
      <w:pPr>
        <w:spacing w:after="0" w:line="148" w:lineRule="exact"/>
        <w:rPr>
          <w:sz w:val="20"/>
          <w:szCs w:val="20"/>
          <w:color w:val="auto"/>
        </w:rPr>
      </w:pPr>
    </w:p>
    <w:p>
      <w:pPr>
        <w:ind w:left="860" w:right="100" w:hanging="352"/>
        <w:spacing w:after="0" w:line="237"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automatic conversion of all shares of our convertible preferred stock outstanding as of June 30, 2017 into 20,188,226 shares of our Class A common stock and 40,376,452 shares of our Class B common stock, and the subsequent conversion of such shares of Class B common stock into 40,376,452 shares of our Class A common stock, which conversions will occur upon to the closing of this offering; and</w:t>
      </w:r>
    </w:p>
    <w:p>
      <w:pPr>
        <w:spacing w:after="0" w:line="131" w:lineRule="exact"/>
        <w:rPr>
          <w:rFonts w:ascii="Arial" w:cs="Arial" w:eastAsia="Arial" w:hAnsi="Arial"/>
          <w:sz w:val="12"/>
          <w:szCs w:val="12"/>
          <w:color w:val="auto"/>
        </w:rPr>
      </w:pPr>
    </w:p>
    <w:p>
      <w:pPr>
        <w:ind w:left="860" w:hanging="352"/>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up to an additional 1,410,000 shares of Class A common stock from us and certain selling stockholders in this offering.</w:t>
      </w: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40"/>
          </w:cols>
          <w:pgMar w:left="220" w:top="142" w:right="43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299325" cy="1339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33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SUMMARY CONSOLIDATED FINANCIAL AND OTHER DATA</w:t>
      </w:r>
    </w:p>
    <w:p>
      <w:pPr>
        <w:spacing w:after="0" w:line="155" w:lineRule="exact"/>
        <w:rPr>
          <w:sz w:val="20"/>
          <w:szCs w:val="20"/>
          <w:color w:val="auto"/>
        </w:rPr>
      </w:pPr>
    </w:p>
    <w:p>
      <w:pPr>
        <w:ind w:left="140" w:firstLine="323"/>
        <w:spacing w:after="0" w:line="236" w:lineRule="auto"/>
        <w:rPr>
          <w:sz w:val="20"/>
          <w:szCs w:val="20"/>
          <w:color w:val="auto"/>
        </w:rPr>
      </w:pPr>
      <w:r>
        <w:rPr>
          <w:rFonts w:ascii="Arial" w:cs="Arial" w:eastAsia="Arial" w:hAnsi="Arial"/>
          <w:sz w:val="12"/>
          <w:szCs w:val="12"/>
          <w:color w:val="auto"/>
        </w:rPr>
        <w:t>The following tables summarize our consolidated financial and other data. We derived the summary consolidated statements of operations data for the years ended December 31, 2015 and 2016 from our audited consolidated financial statements included elsewhere in this prospectus. We derived the summary consolidated statements of operations data for the six months ended June 30, 2016 and 2017 and our consolidated balance sheet data as of June 30, 2017 from our unaudited interim consolidated financial statements included elsewhere in this prospectus. The unaudited interim consolidated financial statements were prepared on a basis consistent with our annual financial statements and include, in the opinion of management, all adjustments, consisting only of normal recurring adjustments, necessary for the fair presentation of the financial information contained in those statements. Our historical results are not necessarily indicative of the results that may be expected in the future, and our interim results are not necessarily indicative of the results to be expected for the full year or any other period. You should read the summary consolidated financial data set forth below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220" w:top="142" w:right="4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4016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4016375"/>
                    </a:xfrm>
                    <a:prstGeom prst="rect">
                      <a:avLst/>
                    </a:prstGeom>
                    <a:noFill/>
                  </pic:spPr>
                </pic:pic>
              </a:graphicData>
            </a:graphic>
          </wp:anchor>
        </w:drawing>
      </w:r>
    </w:p>
    <w:p>
      <w:pPr>
        <w:spacing w:after="0" w:line="271"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ind w:right="520"/>
              <w:spacing w:after="0"/>
              <w:rPr>
                <w:sz w:val="20"/>
                <w:szCs w:val="20"/>
                <w:color w:val="auto"/>
              </w:rPr>
            </w:pPr>
            <w:r>
              <w:rPr>
                <w:rFonts w:ascii="Arial" w:cs="Arial" w:eastAsia="Arial" w:hAnsi="Arial"/>
                <w:sz w:val="12"/>
                <w:szCs w:val="12"/>
                <w:color w:val="auto"/>
              </w:rPr>
              <w:t>Year Ended</w:t>
            </w:r>
          </w:p>
        </w:tc>
        <w:tc>
          <w:tcPr>
            <w:tcW w:w="8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2"/>
                <w:szCs w:val="12"/>
                <w:color w:val="auto"/>
                <w:w w:val="96"/>
              </w:rPr>
              <w:t>Six Months Ended</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5"/>
          </w:tcPr>
          <w:p>
            <w:pPr>
              <w:jc w:val="right"/>
              <w:ind w:right="460"/>
              <w:spacing w:after="0" w:line="133" w:lineRule="exact"/>
              <w:rPr>
                <w:sz w:val="20"/>
                <w:szCs w:val="20"/>
                <w:color w:val="auto"/>
              </w:rPr>
            </w:pPr>
            <w:r>
              <w:rPr>
                <w:rFonts w:ascii="Arial" w:cs="Arial" w:eastAsia="Arial" w:hAnsi="Arial"/>
                <w:sz w:val="12"/>
                <w:szCs w:val="12"/>
                <w:color w:val="auto"/>
              </w:rPr>
              <w:t>December 31,</w:t>
            </w:r>
          </w:p>
        </w:tc>
        <w:tc>
          <w:tcPr>
            <w:tcW w:w="80" w:type="dxa"/>
            <w:vAlign w:val="bottom"/>
          </w:tcPr>
          <w:p>
            <w:pPr>
              <w:spacing w:after="0"/>
              <w:rPr>
                <w:sz w:val="11"/>
                <w:szCs w:val="11"/>
                <w:color w:val="auto"/>
              </w:rPr>
            </w:pPr>
          </w:p>
        </w:tc>
        <w:tc>
          <w:tcPr>
            <w:tcW w:w="1560" w:type="dxa"/>
            <w:vAlign w:val="bottom"/>
            <w:gridSpan w:val="5"/>
          </w:tcPr>
          <w:p>
            <w:pPr>
              <w:jc w:val="center"/>
              <w:ind w:right="100"/>
              <w:spacing w:after="0" w:line="133" w:lineRule="exact"/>
              <w:rPr>
                <w:sz w:val="20"/>
                <w:szCs w:val="20"/>
                <w:color w:val="auto"/>
              </w:rPr>
            </w:pPr>
            <w:r>
              <w:rPr>
                <w:rFonts w:ascii="Arial" w:cs="Arial" w:eastAsia="Arial" w:hAnsi="Arial"/>
                <w:sz w:val="12"/>
                <w:szCs w:val="12"/>
                <w:color w:val="auto"/>
                <w:w w:val="99"/>
              </w:rPr>
              <w:t>June 30,</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2016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gridSpan w:val="11"/>
          </w:tcPr>
          <w:p>
            <w:pPr>
              <w:ind w:left="280"/>
              <w:spacing w:after="0"/>
              <w:rPr>
                <w:sz w:val="20"/>
                <w:szCs w:val="20"/>
                <w:color w:val="auto"/>
              </w:rPr>
            </w:pPr>
            <w:r>
              <w:rPr>
                <w:rFonts w:ascii="Arial" w:cs="Arial" w:eastAsia="Arial" w:hAnsi="Arial"/>
                <w:sz w:val="12"/>
                <w:szCs w:val="12"/>
                <w:color w:val="auto"/>
              </w:rPr>
              <w:t>(in thousands, except share and per share data)</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tcPr>
          <w:p>
            <w:pPr>
              <w:spacing w:after="0" w:line="135" w:lineRule="exact"/>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Marketplace subscription</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75,142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171,302</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71,638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127,952</w:t>
            </w:r>
          </w:p>
        </w:tc>
        <w:tc>
          <w:tcPr>
            <w:tcW w:w="0" w:type="dxa"/>
            <w:vAlign w:val="bottom"/>
          </w:tcPr>
          <w:p>
            <w:pPr>
              <w:spacing w:after="0"/>
              <w:rPr>
                <w:sz w:val="1"/>
                <w:szCs w:val="1"/>
                <w:color w:val="auto"/>
              </w:rPr>
            </w:pPr>
          </w:p>
        </w:tc>
      </w:tr>
      <w:tr>
        <w:trPr>
          <w:trHeight w:val="135"/>
        </w:trPr>
        <w:tc>
          <w:tcPr>
            <w:tcW w:w="568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Advertising and other</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23,446</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26,839</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12,603</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15,323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8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 revenue</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98,588</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198,141</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84,241</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143,275</w:t>
            </w:r>
          </w:p>
        </w:tc>
        <w:tc>
          <w:tcPr>
            <w:tcW w:w="0" w:type="dxa"/>
            <w:vAlign w:val="bottom"/>
          </w:tcPr>
          <w:p>
            <w:pPr>
              <w:spacing w:after="0"/>
              <w:rPr>
                <w:sz w:val="1"/>
                <w:szCs w:val="1"/>
                <w:color w:val="auto"/>
              </w:rPr>
            </w:pPr>
          </w:p>
        </w:tc>
      </w:tr>
      <w:tr>
        <w:trPr>
          <w:trHeight w:val="162"/>
        </w:trPr>
        <w:tc>
          <w:tcPr>
            <w:tcW w:w="5680" w:type="dxa"/>
            <w:vAlign w:val="bottom"/>
            <w:gridSpan w:val="2"/>
          </w:tcPr>
          <w:p>
            <w:pPr>
              <w:spacing w:after="0" w:line="162" w:lineRule="exact"/>
              <w:rPr>
                <w:sz w:val="20"/>
                <w:szCs w:val="20"/>
                <w:color w:val="auto"/>
              </w:rPr>
            </w:pPr>
            <w:r>
              <w:rPr>
                <w:rFonts w:ascii="Arial" w:cs="Arial" w:eastAsia="Arial" w:hAnsi="Arial"/>
                <w:sz w:val="11"/>
                <w:szCs w:val="11"/>
                <w:color w:val="auto"/>
              </w:rPr>
              <w:t>Cost of revenue</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4,234</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9,575</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3,819</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7,647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8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94,354</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188,566</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80,422</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135,628</w:t>
            </w:r>
          </w:p>
        </w:tc>
        <w:tc>
          <w:tcPr>
            <w:tcW w:w="0" w:type="dxa"/>
            <w:vAlign w:val="bottom"/>
          </w:tcPr>
          <w:p>
            <w:pPr>
              <w:spacing w:after="0"/>
              <w:rPr>
                <w:sz w:val="1"/>
                <w:szCs w:val="1"/>
                <w:color w:val="auto"/>
              </w:rPr>
            </w:pPr>
          </w:p>
        </w:tc>
      </w:tr>
      <w:tr>
        <w:trPr>
          <w:trHeight w:val="124"/>
        </w:trPr>
        <w:tc>
          <w:tcPr>
            <w:tcW w:w="5680" w:type="dxa"/>
            <w:vAlign w:val="bottom"/>
            <w:gridSpan w:val="2"/>
          </w:tcPr>
          <w:p>
            <w:pPr>
              <w:spacing w:after="0" w:line="124" w:lineRule="exact"/>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Sales and marketing</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81,877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154,125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68,313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104,604</w:t>
            </w:r>
          </w:p>
        </w:tc>
        <w:tc>
          <w:tcPr>
            <w:tcW w:w="0" w:type="dxa"/>
            <w:vAlign w:val="bottom"/>
          </w:tcPr>
          <w:p>
            <w:pPr>
              <w:spacing w:after="0"/>
              <w:rPr>
                <w:sz w:val="1"/>
                <w:szCs w:val="1"/>
                <w:color w:val="auto"/>
              </w:rPr>
            </w:pPr>
          </w:p>
        </w:tc>
      </w:tr>
      <w:tr>
        <w:trPr>
          <w:trHeight w:val="135"/>
        </w:trPr>
        <w:tc>
          <w:tcPr>
            <w:tcW w:w="568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Product, technology, and development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8,235</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11,453</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5,150</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8,357</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5,801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12,783</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5,618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9,092</w:t>
            </w:r>
          </w:p>
        </w:tc>
        <w:tc>
          <w:tcPr>
            <w:tcW w:w="0" w:type="dxa"/>
            <w:vAlign w:val="bottom"/>
          </w:tcPr>
          <w:p>
            <w:pPr>
              <w:spacing w:after="0"/>
              <w:rPr>
                <w:sz w:val="1"/>
                <w:szCs w:val="1"/>
                <w:color w:val="auto"/>
              </w:rPr>
            </w:pPr>
          </w:p>
        </w:tc>
      </w:tr>
      <w:tr>
        <w:trPr>
          <w:trHeight w:val="135"/>
        </w:trPr>
        <w:tc>
          <w:tcPr>
            <w:tcW w:w="568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969</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1,634</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633</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1,196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8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 operating expenses</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96,882</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179,995</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79,714</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123,249</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color w:val="auto"/>
              </w:rPr>
              <w:t>(Loss) income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(2,528)</w:t>
            </w: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8,571</w:t>
            </w:r>
          </w:p>
        </w:tc>
        <w:tc>
          <w:tcPr>
            <w:tcW w:w="8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708</w:t>
            </w: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12,379</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Other (expense) income, net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(2,540)</w:t>
            </w: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8,945</w:t>
            </w:r>
          </w:p>
        </w:tc>
        <w:tc>
          <w:tcPr>
            <w:tcW w:w="8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861</w:t>
            </w: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12,596</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(Benefit from) provision for income taxes</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(904)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2,448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4,043</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color w:val="auto"/>
              </w:rPr>
              <w:t>Net (loss)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80" w:type="dxa"/>
            <w:vAlign w:val="bottom"/>
            <w:gridSpan w:val="2"/>
            <w:vMerge w:val="continue"/>
          </w:tcPr>
          <w:p>
            <w:pPr>
              <w:spacing w:after="0"/>
              <w:rPr>
                <w:sz w:val="11"/>
                <w:szCs w:val="11"/>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(1,636)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6,497</w:t>
            </w:r>
          </w:p>
        </w:tc>
        <w:tc>
          <w:tcPr>
            <w:tcW w:w="80" w:type="dxa"/>
            <w:vAlign w:val="bottom"/>
          </w:tcPr>
          <w:p>
            <w:pPr>
              <w:jc w:val="right"/>
              <w:spacing w:after="0" w:line="124"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521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8,553</w:t>
            </w:r>
          </w:p>
        </w:tc>
        <w:tc>
          <w:tcPr>
            <w:tcW w:w="0" w:type="dxa"/>
            <w:vAlign w:val="bottom"/>
          </w:tcPr>
          <w:p>
            <w:pPr>
              <w:spacing w:after="0"/>
              <w:rPr>
                <w:sz w:val="1"/>
                <w:szCs w:val="1"/>
                <w:color w:val="auto"/>
              </w:rPr>
            </w:pPr>
          </w:p>
        </w:tc>
      </w:tr>
      <w:tr>
        <w:trPr>
          <w:trHeight w:val="162"/>
        </w:trPr>
        <w:tc>
          <w:tcPr>
            <w:tcW w:w="568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Net (loss) income per share attributable to common stockholders:</w:t>
            </w:r>
            <w:r>
              <w:rPr>
                <w:rFonts w:ascii="Arial" w:cs="Arial" w:eastAsia="Arial" w:hAnsi="Arial"/>
                <w:sz w:val="18"/>
                <w:szCs w:val="18"/>
                <w:color w:val="auto"/>
                <w:vertAlign w:val="superscript"/>
              </w:rPr>
              <w:t>(2)</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80" w:type="dxa"/>
            <w:vAlign w:val="bottom"/>
            <w:gridSpan w:val="2"/>
          </w:tcPr>
          <w:p>
            <w:pPr>
              <w:spacing w:after="0" w:line="135" w:lineRule="exact"/>
              <w:rPr>
                <w:sz w:val="20"/>
                <w:szCs w:val="20"/>
                <w:color w:val="auto"/>
              </w:rPr>
            </w:pPr>
            <w:r>
              <w:rPr>
                <w:rFonts w:ascii="Arial" w:cs="Arial" w:eastAsia="Arial" w:hAnsi="Arial"/>
                <w:sz w:val="12"/>
                <w:szCs w:val="12"/>
                <w:color w:val="auto"/>
              </w:rPr>
              <w:t>Basic</w:t>
            </w: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(0.41)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(0.58)</w:t>
            </w:r>
          </w:p>
        </w:tc>
        <w:tc>
          <w:tcPr>
            <w:tcW w:w="8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0.01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Diluted</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(0.58)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37"/>
        </w:trPr>
        <w:tc>
          <w:tcPr>
            <w:tcW w:w="5680" w:type="dxa"/>
            <w:vAlign w:val="bottom"/>
            <w:gridSpan w:val="2"/>
          </w:tcPr>
          <w:p>
            <w:pPr>
              <w:spacing w:after="0"/>
              <w:rPr>
                <w:sz w:val="20"/>
                <w:szCs w:val="20"/>
                <w:color w:val="auto"/>
              </w:rPr>
            </w:pPr>
            <w:r>
              <w:rPr>
                <w:rFonts w:ascii="Arial" w:cs="Arial" w:eastAsia="Arial" w:hAnsi="Arial"/>
                <w:sz w:val="12"/>
                <w:szCs w:val="12"/>
                <w:color w:val="auto"/>
              </w:rPr>
              <w:t>Weighted-average number of shares of common stock used in computing net (loss) income per share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8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attributable to common stockholders: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Basic</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6"/>
              </w:rPr>
              <w:t>43,141,236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44,138,922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9"/>
              </w:rPr>
              <w:t>44,651,235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42,122,339</w:t>
            </w:r>
          </w:p>
        </w:tc>
        <w:tc>
          <w:tcPr>
            <w:tcW w:w="0" w:type="dxa"/>
            <w:vAlign w:val="bottom"/>
          </w:tcPr>
          <w:p>
            <w:pPr>
              <w:spacing w:after="0"/>
              <w:rPr>
                <w:sz w:val="1"/>
                <w:szCs w:val="1"/>
                <w:color w:val="auto"/>
              </w:rPr>
            </w:pPr>
          </w:p>
        </w:tc>
      </w:tr>
      <w:tr>
        <w:trPr>
          <w:trHeight w:val="135"/>
        </w:trPr>
        <w:tc>
          <w:tcPr>
            <w:tcW w:w="5680" w:type="dxa"/>
            <w:vAlign w:val="bottom"/>
            <w:gridSpan w:val="2"/>
          </w:tcPr>
          <w:p>
            <w:pPr>
              <w:spacing w:after="0" w:line="135" w:lineRule="exact"/>
              <w:rPr>
                <w:sz w:val="20"/>
                <w:szCs w:val="20"/>
                <w:color w:val="auto"/>
              </w:rPr>
            </w:pPr>
            <w:r>
              <w:rPr>
                <w:rFonts w:ascii="Arial" w:cs="Arial" w:eastAsia="Arial" w:hAnsi="Arial"/>
                <w:sz w:val="12"/>
                <w:szCs w:val="12"/>
                <w:color w:val="auto"/>
              </w:rPr>
              <w:t>Diluted</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6"/>
              </w:rPr>
              <w:t>43,141,236</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44,138,922</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9"/>
              </w:rPr>
              <w:t>48,026,295</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46,182,359</w:t>
            </w:r>
          </w:p>
        </w:tc>
        <w:tc>
          <w:tcPr>
            <w:tcW w:w="0" w:type="dxa"/>
            <w:vAlign w:val="bottom"/>
          </w:tcPr>
          <w:p>
            <w:pPr>
              <w:spacing w:after="0"/>
              <w:rPr>
                <w:sz w:val="1"/>
                <w:szCs w:val="1"/>
                <w:color w:val="auto"/>
              </w:rPr>
            </w:pPr>
          </w:p>
        </w:tc>
      </w:tr>
      <w:tr>
        <w:trPr>
          <w:trHeight w:val="162"/>
        </w:trPr>
        <w:tc>
          <w:tcPr>
            <w:tcW w:w="568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Pro forma net (loss) income per share attributable to common stockholders:</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80" w:type="dxa"/>
            <w:vAlign w:val="bottom"/>
            <w:gridSpan w:val="2"/>
          </w:tcPr>
          <w:p>
            <w:pPr>
              <w:spacing w:after="0" w:line="135" w:lineRule="exact"/>
              <w:rPr>
                <w:sz w:val="20"/>
                <w:szCs w:val="20"/>
                <w:color w:val="auto"/>
              </w:rPr>
            </w:pPr>
            <w:r>
              <w:rPr>
                <w:rFonts w:ascii="Arial" w:cs="Arial" w:eastAsia="Arial" w:hAnsi="Arial"/>
                <w:sz w:val="12"/>
                <w:szCs w:val="12"/>
                <w:color w:val="auto"/>
              </w:rPr>
              <w:t>Basic</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(0.24)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Diluted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(0.24)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37"/>
        </w:trPr>
        <w:tc>
          <w:tcPr>
            <w:tcW w:w="5680" w:type="dxa"/>
            <w:vAlign w:val="bottom"/>
            <w:gridSpan w:val="2"/>
          </w:tcPr>
          <w:p>
            <w:pPr>
              <w:spacing w:after="0"/>
              <w:rPr>
                <w:sz w:val="20"/>
                <w:szCs w:val="20"/>
                <w:color w:val="auto"/>
              </w:rPr>
            </w:pPr>
            <w:r>
              <w:rPr>
                <w:rFonts w:ascii="Arial" w:cs="Arial" w:eastAsia="Arial" w:hAnsi="Arial"/>
                <w:sz w:val="12"/>
                <w:szCs w:val="12"/>
                <w:color w:val="auto"/>
              </w:rPr>
              <w:t>Pro forma weighted-average number of shares of common stock used in computing pro forma net (loss)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8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income per share attributable to common stockholders: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Basic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5"/>
              </w:rPr>
              <w:t>104,703,600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5"/>
              </w:rPr>
              <w:t>102,687,017</w:t>
            </w:r>
          </w:p>
        </w:tc>
        <w:tc>
          <w:tcPr>
            <w:tcW w:w="0" w:type="dxa"/>
            <w:vAlign w:val="bottom"/>
          </w:tcPr>
          <w:p>
            <w:pPr>
              <w:spacing w:after="0"/>
              <w:rPr>
                <w:sz w:val="1"/>
                <w:szCs w:val="1"/>
                <w:color w:val="auto"/>
              </w:rPr>
            </w:pPr>
          </w:p>
        </w:tc>
      </w:tr>
      <w:tr>
        <w:trPr>
          <w:trHeight w:val="142"/>
        </w:trPr>
        <w:tc>
          <w:tcPr>
            <w:tcW w:w="5680" w:type="dxa"/>
            <w:vAlign w:val="bottom"/>
            <w:gridSpan w:val="2"/>
          </w:tcPr>
          <w:p>
            <w:pPr>
              <w:spacing w:after="0"/>
              <w:rPr>
                <w:sz w:val="20"/>
                <w:szCs w:val="20"/>
                <w:color w:val="auto"/>
              </w:rPr>
            </w:pPr>
            <w:r>
              <w:rPr>
                <w:rFonts w:ascii="Arial" w:cs="Arial" w:eastAsia="Arial" w:hAnsi="Arial"/>
                <w:sz w:val="12"/>
                <w:szCs w:val="12"/>
                <w:color w:val="auto"/>
              </w:rPr>
              <w:t>Diluted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w w:val="95"/>
              </w:rPr>
              <w:t>104,703,600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w w:val="95"/>
              </w:rPr>
              <w:t>106,747,037</w:t>
            </w:r>
          </w:p>
        </w:tc>
        <w:tc>
          <w:tcPr>
            <w:tcW w:w="0" w:type="dxa"/>
            <w:vAlign w:val="bottom"/>
          </w:tcPr>
          <w:p>
            <w:pPr>
              <w:spacing w:after="0"/>
              <w:rPr>
                <w:sz w:val="1"/>
                <w:szCs w:val="1"/>
                <w:color w:val="auto"/>
              </w:rPr>
            </w:pPr>
          </w:p>
        </w:tc>
      </w:tr>
      <w:tr>
        <w:trPr>
          <w:trHeight w:val="65"/>
        </w:trPr>
        <w:tc>
          <w:tcPr>
            <w:tcW w:w="840" w:type="dxa"/>
            <w:vAlign w:val="bottom"/>
            <w:tcBorders>
              <w:bottom w:val="single" w:sz="8" w:color="auto"/>
            </w:tcBorders>
          </w:tcPr>
          <w:p>
            <w:pPr>
              <w:spacing w:after="0"/>
              <w:rPr>
                <w:sz w:val="5"/>
                <w:szCs w:val="5"/>
                <w:color w:val="auto"/>
              </w:rPr>
            </w:pPr>
          </w:p>
        </w:tc>
        <w:tc>
          <w:tcPr>
            <w:tcW w:w="4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20" w:hanging="355"/>
        <w:spacing w:after="0"/>
        <w:tabs>
          <w:tab w:leader="none" w:pos="1620" w:val="left"/>
        </w:tabs>
        <w:numPr>
          <w:ilvl w:val="0"/>
          <w:numId w:val="15"/>
        </w:numPr>
        <w:rPr>
          <w:rFonts w:ascii="Arial" w:cs="Arial" w:eastAsia="Arial" w:hAnsi="Arial"/>
          <w:sz w:val="14"/>
          <w:szCs w:val="14"/>
          <w:color w:val="auto"/>
          <w:vertAlign w:val="superscript"/>
        </w:rPr>
      </w:pPr>
      <w:r>
        <w:rPr>
          <w:rFonts w:ascii="Arial" w:cs="Arial" w:eastAsia="Arial" w:hAnsi="Arial"/>
          <w:sz w:val="10"/>
          <w:szCs w:val="10"/>
          <w:color w:val="auto"/>
        </w:rPr>
        <w:t>Includes depreciation and amortization expense for the years ended December 31, 2015 and 2016 and for the six months ended June 30, 2016 and 2017 of $153, $438, $203, and $391, respectively.</w:t>
      </w:r>
    </w:p>
    <w:p>
      <w:pPr>
        <w:spacing w:after="0" w:line="101" w:lineRule="exact"/>
        <w:rPr>
          <w:rFonts w:ascii="Arial" w:cs="Arial" w:eastAsia="Arial" w:hAnsi="Arial"/>
          <w:sz w:val="14"/>
          <w:szCs w:val="14"/>
          <w:color w:val="auto"/>
          <w:vertAlign w:val="superscript"/>
        </w:rPr>
      </w:pPr>
    </w:p>
    <w:p>
      <w:pPr>
        <w:ind w:left="1620" w:hanging="355"/>
        <w:spacing w:after="0" w:line="193" w:lineRule="auto"/>
        <w:tabs>
          <w:tab w:leader="none" w:pos="1620" w:val="left"/>
        </w:tabs>
        <w:numPr>
          <w:ilvl w:val="0"/>
          <w:numId w:val="15"/>
        </w:numPr>
        <w:rPr>
          <w:rFonts w:ascii="Arial" w:cs="Arial" w:eastAsia="Arial" w:hAnsi="Arial"/>
          <w:sz w:val="14"/>
          <w:szCs w:val="14"/>
          <w:color w:val="auto"/>
          <w:vertAlign w:val="superscript"/>
        </w:rPr>
      </w:pPr>
      <w:r>
        <w:rPr>
          <w:rFonts w:ascii="Arial" w:cs="Arial" w:eastAsia="Arial" w:hAnsi="Arial"/>
          <w:sz w:val="10"/>
          <w:szCs w:val="10"/>
          <w:color w:val="auto"/>
        </w:rPr>
        <w:t>See Note 2 of the notes to our consolidated financial statements included elsewhere in this prospectus for an explanation of the calculations of our net (loss) income per share attributable to common stockholders, and pro forma net (loss) income per share attributable to common stockholders.</w:t>
      </w: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40"/>
          </w:cols>
          <w:pgMar w:left="220" w:top="142" w:right="43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3209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320992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54"/>
        </w:trPr>
        <w:tc>
          <w:tcPr>
            <w:tcW w:w="6560" w:type="dxa"/>
            <w:vAlign w:val="bottom"/>
            <w:gridSpan w:val="3"/>
          </w:tcPr>
          <w:p>
            <w:pPr>
              <w:spacing w:after="0"/>
              <w:rPr>
                <w:sz w:val="20"/>
                <w:szCs w:val="20"/>
                <w:color w:val="auto"/>
              </w:rPr>
            </w:pPr>
            <w:r>
              <w:rPr>
                <w:rFonts w:ascii="Arial" w:cs="Arial" w:eastAsia="Arial" w:hAnsi="Arial"/>
                <w:sz w:val="12"/>
                <w:szCs w:val="12"/>
                <w:b w:val="1"/>
                <w:bCs w:val="1"/>
                <w:color w:val="auto"/>
              </w:rPr>
              <w:t>Other Financial Information:</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center"/>
              <w:ind w:left="421"/>
              <w:spacing w:after="0"/>
              <w:rPr>
                <w:sz w:val="20"/>
                <w:szCs w:val="20"/>
                <w:color w:val="auto"/>
              </w:rPr>
            </w:pPr>
            <w:r>
              <w:rPr>
                <w:rFonts w:ascii="Arial" w:cs="Arial" w:eastAsia="Arial" w:hAnsi="Arial"/>
                <w:sz w:val="12"/>
                <w:szCs w:val="12"/>
                <w:color w:val="auto"/>
                <w:w w:val="94"/>
              </w:rPr>
              <w:t>Six Months</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5"/>
        </w:trPr>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5"/>
          </w:tcPr>
          <w:p>
            <w:pPr>
              <w:jc w:val="center"/>
              <w:spacing w:after="0" w:line="135" w:lineRule="exact"/>
              <w:rPr>
                <w:sz w:val="20"/>
                <w:szCs w:val="20"/>
                <w:color w:val="auto"/>
              </w:rPr>
            </w:pPr>
            <w:r>
              <w:rPr>
                <w:rFonts w:ascii="Arial" w:cs="Arial" w:eastAsia="Arial" w:hAnsi="Arial"/>
                <w:sz w:val="12"/>
                <w:szCs w:val="12"/>
                <w:color w:val="auto"/>
                <w:w w:val="97"/>
              </w:rPr>
              <w:t>Year Ended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ind w:right="61"/>
              <w:spacing w:after="0" w:line="135" w:lineRule="exact"/>
              <w:rPr>
                <w:sz w:val="20"/>
                <w:szCs w:val="20"/>
                <w:color w:val="auto"/>
              </w:rPr>
            </w:pPr>
            <w:r>
              <w:rPr>
                <w:rFonts w:ascii="Arial" w:cs="Arial" w:eastAsia="Arial" w:hAnsi="Arial"/>
                <w:sz w:val="12"/>
                <w:szCs w:val="12"/>
                <w:color w:val="auto"/>
                <w:w w:val="92"/>
              </w:rPr>
              <w:t>Ended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5"/>
          </w:tcPr>
          <w:p>
            <w:pPr>
              <w:jc w:val="center"/>
              <w:spacing w:after="0" w:line="133" w:lineRule="exact"/>
              <w:rPr>
                <w:sz w:val="20"/>
                <w:szCs w:val="20"/>
                <w:color w:val="auto"/>
              </w:rPr>
            </w:pPr>
            <w:r>
              <w:rPr>
                <w:rFonts w:ascii="Arial" w:cs="Arial" w:eastAsia="Arial" w:hAnsi="Arial"/>
                <w:sz w:val="12"/>
                <w:szCs w:val="12"/>
                <w:color w:val="auto"/>
                <w:w w:val="98"/>
              </w:rPr>
              <w:t>December 31,</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center"/>
              <w:ind w:right="1"/>
              <w:spacing w:after="0" w:line="133" w:lineRule="exact"/>
              <w:rPr>
                <w:sz w:val="20"/>
                <w:szCs w:val="20"/>
                <w:color w:val="auto"/>
              </w:rPr>
            </w:pPr>
            <w:r>
              <w:rPr>
                <w:rFonts w:ascii="Arial" w:cs="Arial" w:eastAsia="Arial" w:hAnsi="Arial"/>
                <w:sz w:val="12"/>
                <w:szCs w:val="12"/>
                <w:color w:val="auto"/>
                <w:w w:val="95"/>
              </w:rPr>
              <w:t>June 30,</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5"/>
          </w:tcPr>
          <w:p>
            <w:pPr>
              <w:ind w:left="440"/>
              <w:spacing w:after="0"/>
              <w:rPr>
                <w:sz w:val="20"/>
                <w:szCs w:val="20"/>
                <w:color w:val="auto"/>
              </w:rPr>
            </w:pPr>
            <w:r>
              <w:rPr>
                <w:rFonts w:ascii="Arial" w:cs="Arial" w:eastAsia="Arial" w:hAnsi="Arial"/>
                <w:sz w:val="12"/>
                <w:szCs w:val="12"/>
                <w:color w:val="auto"/>
              </w:rPr>
              <w:t>(in thousands)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54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Adjusted EBITDA</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(366) $</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10,965</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1,692</w:t>
            </w:r>
          </w:p>
        </w:tc>
        <w:tc>
          <w:tcPr>
            <w:tcW w:w="540" w:type="dxa"/>
            <w:vAlign w:val="bottom"/>
            <w:gridSpan w:val="2"/>
            <w:shd w:val="clear" w:color="auto" w:fill="CCEEFF"/>
          </w:tcPr>
          <w:p>
            <w:pPr>
              <w:jc w:val="right"/>
              <w:ind w:right="341"/>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14,116</w:t>
            </w:r>
          </w:p>
        </w:tc>
      </w:tr>
      <w:tr>
        <w:trPr>
          <w:trHeight w:val="72"/>
        </w:trPr>
        <w:tc>
          <w:tcPr>
            <w:tcW w:w="112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47" w:lineRule="exact"/>
        <w:rPr>
          <w:sz w:val="20"/>
          <w:szCs w:val="20"/>
          <w:color w:val="auto"/>
        </w:rPr>
      </w:pPr>
    </w:p>
    <w:p>
      <w:pPr>
        <w:ind w:left="1620" w:right="60" w:hanging="355"/>
        <w:spacing w:after="0" w:line="193" w:lineRule="auto"/>
        <w:tabs>
          <w:tab w:leader="none" w:pos="1620" w:val="left"/>
        </w:tabs>
        <w:numPr>
          <w:ilvl w:val="0"/>
          <w:numId w:val="16"/>
        </w:numPr>
        <w:rPr>
          <w:rFonts w:ascii="Arial" w:cs="Arial" w:eastAsia="Arial" w:hAnsi="Arial"/>
          <w:sz w:val="14"/>
          <w:szCs w:val="14"/>
          <w:color w:val="auto"/>
          <w:vertAlign w:val="superscript"/>
        </w:rPr>
      </w:pPr>
      <w:r>
        <w:rPr>
          <w:rFonts w:ascii="Arial" w:cs="Arial" w:eastAsia="Arial" w:hAnsi="Arial"/>
          <w:sz w:val="10"/>
          <w:szCs w:val="10"/>
          <w:color w:val="auto"/>
        </w:rPr>
        <w:t>See "Selected Consolidated Financial and Other Data — Adjusted EBITDA" for more information and for a reconciliation of Adjusted EBITDA to net (loss) income, the most directly comparable financial measure calculated and presented in accordance with U.S. generally accepted accounting principles, or GAAP.</w:t>
      </w:r>
    </w:p>
    <w:p>
      <w:pPr>
        <w:spacing w:after="0" w:line="141" w:lineRule="exact"/>
        <w:rPr>
          <w:sz w:val="20"/>
          <w:szCs w:val="20"/>
          <w:color w:val="auto"/>
        </w:rPr>
      </w:pPr>
    </w:p>
    <w:p>
      <w:pPr>
        <w:ind w:left="8400"/>
        <w:spacing w:after="0"/>
        <w:rPr>
          <w:sz w:val="20"/>
          <w:szCs w:val="20"/>
          <w:color w:val="auto"/>
        </w:rPr>
      </w:pPr>
      <w:r>
        <w:rPr>
          <w:rFonts w:ascii="Arial" w:cs="Arial" w:eastAsia="Arial" w:hAnsi="Arial"/>
          <w:sz w:val="12"/>
          <w:szCs w:val="12"/>
          <w:color w:val="auto"/>
        </w:rPr>
        <w:t>At June 30, 2017</w:t>
      </w:r>
    </w:p>
    <w:tbl>
      <w:tblPr>
        <w:tblLayout w:type="fixed"/>
        <w:tblInd w:w="126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left="22"/>
              <w:spacing w:after="0" w:line="135" w:lineRule="exact"/>
              <w:rPr>
                <w:sz w:val="20"/>
                <w:szCs w:val="20"/>
                <w:color w:val="auto"/>
              </w:rPr>
            </w:pPr>
            <w:r>
              <w:rPr>
                <w:rFonts w:ascii="Arial" w:cs="Arial" w:eastAsia="Arial" w:hAnsi="Arial"/>
                <w:sz w:val="12"/>
                <w:szCs w:val="12"/>
                <w:color w:val="auto"/>
                <w:w w:val="98"/>
              </w:rPr>
              <w:t>Pro forma as</w:t>
            </w:r>
          </w:p>
        </w:tc>
        <w:tc>
          <w:tcPr>
            <w:tcW w:w="120" w:type="dxa"/>
            <w:vAlign w:val="bottom"/>
          </w:tcPr>
          <w:p>
            <w:pPr>
              <w:spacing w:after="0"/>
              <w:rPr>
                <w:sz w:val="11"/>
                <w:szCs w:val="11"/>
                <w:color w:val="auto"/>
              </w:rPr>
            </w:pPr>
          </w:p>
        </w:tc>
      </w:tr>
      <w:tr>
        <w:trPr>
          <w:trHeight w:val="160"/>
        </w:trPr>
        <w:tc>
          <w:tcPr>
            <w:tcW w:w="9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Actual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1"/>
                <w:szCs w:val="11"/>
                <w:color w:val="auto"/>
              </w:rPr>
              <w:t>Pro forma</w:t>
            </w:r>
            <w:r>
              <w:rPr>
                <w:rFonts w:ascii="Arial" w:cs="Arial" w:eastAsia="Arial" w:hAnsi="Arial"/>
                <w:sz w:val="18"/>
                <w:szCs w:val="18"/>
                <w:color w:val="auto"/>
                <w:vertAlign w:val="superscript"/>
              </w:rPr>
              <w:t>(1)</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22"/>
              <w:spacing w:after="0" w:line="160" w:lineRule="exact"/>
              <w:rPr>
                <w:sz w:val="20"/>
                <w:szCs w:val="20"/>
                <w:color w:val="auto"/>
              </w:rPr>
            </w:pPr>
            <w:r>
              <w:rPr>
                <w:rFonts w:ascii="Arial" w:cs="Arial" w:eastAsia="Arial" w:hAnsi="Arial"/>
                <w:sz w:val="11"/>
                <w:szCs w:val="11"/>
                <w:color w:val="auto"/>
                <w:w w:val="99"/>
              </w:rPr>
              <w:t>adjusted</w:t>
            </w:r>
            <w:r>
              <w:rPr>
                <w:rFonts w:ascii="Arial" w:cs="Arial" w:eastAsia="Arial" w:hAnsi="Arial"/>
                <w:sz w:val="18"/>
                <w:szCs w:val="18"/>
                <w:color w:val="auto"/>
                <w:w w:val="99"/>
                <w:vertAlign w:val="superscript"/>
              </w:rPr>
              <w:t>(2)</w:t>
            </w:r>
          </w:p>
        </w:tc>
        <w:tc>
          <w:tcPr>
            <w:tcW w:w="120" w:type="dxa"/>
            <w:vAlign w:val="bottom"/>
          </w:tcPr>
          <w:p>
            <w:pPr>
              <w:spacing w:after="0"/>
              <w:rPr>
                <w:sz w:val="13"/>
                <w:szCs w:val="13"/>
                <w:color w:val="auto"/>
              </w:rPr>
            </w:pPr>
          </w:p>
        </w:tc>
      </w:tr>
      <w:tr>
        <w:trPr>
          <w:trHeight w:val="142"/>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73"/>
              <w:spacing w:after="0"/>
              <w:rPr>
                <w:sz w:val="20"/>
                <w:szCs w:val="20"/>
                <w:color w:val="auto"/>
              </w:rPr>
            </w:pPr>
            <w:r>
              <w:rPr>
                <w:rFonts w:ascii="Arial" w:cs="Arial" w:eastAsia="Arial" w:hAnsi="Arial"/>
                <w:sz w:val="12"/>
                <w:szCs w:val="12"/>
                <w:color w:val="auto"/>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Consolidated Balance Sheet Data:</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6120" w:type="dxa"/>
            <w:vAlign w:val="bottom"/>
            <w:gridSpan w:val="2"/>
          </w:tcPr>
          <w:p>
            <w:pPr>
              <w:spacing w:after="0" w:line="135" w:lineRule="exact"/>
              <w:rPr>
                <w:sz w:val="20"/>
                <w:szCs w:val="20"/>
                <w:color w:val="auto"/>
              </w:rPr>
            </w:pPr>
            <w:r>
              <w:rPr>
                <w:rFonts w:ascii="Arial" w:cs="Arial" w:eastAsia="Arial" w:hAnsi="Arial"/>
                <w:sz w:val="12"/>
                <w:szCs w:val="12"/>
                <w:color w:val="auto"/>
              </w:rPr>
              <w:t>Cash, cash equivalents, and investments</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81,309</w:t>
            </w:r>
          </w:p>
        </w:tc>
        <w:tc>
          <w:tcPr>
            <w:tcW w:w="160" w:type="dxa"/>
            <w:vAlign w:val="bottom"/>
          </w:tcPr>
          <w:p>
            <w:pPr>
              <w:jc w:val="right"/>
              <w:ind w:right="21"/>
              <w:spacing w:after="0" w:line="135" w:lineRule="exact"/>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81,309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114,714</w:t>
            </w:r>
          </w:p>
        </w:tc>
      </w:tr>
      <w:tr>
        <w:trPr>
          <w:trHeight w:val="135"/>
        </w:trPr>
        <w:tc>
          <w:tcPr>
            <w:tcW w:w="6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Property and equipment, net</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15,897</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15,897</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15,897</w:t>
            </w:r>
          </w:p>
        </w:tc>
      </w:tr>
      <w:tr>
        <w:trPr>
          <w:trHeight w:val="135"/>
        </w:trPr>
        <w:tc>
          <w:tcPr>
            <w:tcW w:w="6120" w:type="dxa"/>
            <w:vAlign w:val="bottom"/>
            <w:gridSpan w:val="2"/>
          </w:tcPr>
          <w:p>
            <w:pPr>
              <w:spacing w:after="0" w:line="135" w:lineRule="exact"/>
              <w:rPr>
                <w:sz w:val="20"/>
                <w:szCs w:val="20"/>
                <w:color w:val="auto"/>
              </w:rPr>
            </w:pPr>
            <w:r>
              <w:rPr>
                <w:rFonts w:ascii="Arial" w:cs="Arial" w:eastAsia="Arial" w:hAnsi="Arial"/>
                <w:sz w:val="12"/>
                <w:szCs w:val="12"/>
                <w:color w:val="auto"/>
              </w:rPr>
              <w:t>Working capital</w:t>
            </w:r>
          </w:p>
        </w:tc>
        <w:tc>
          <w:tcPr>
            <w:tcW w:w="1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61,534</w:t>
            </w:r>
          </w:p>
        </w:tc>
        <w:tc>
          <w:tcPr>
            <w:tcW w:w="1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61,534</w:t>
            </w:r>
          </w:p>
        </w:tc>
        <w:tc>
          <w:tcPr>
            <w:tcW w:w="1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96,488</w:t>
            </w:r>
          </w:p>
        </w:tc>
      </w:tr>
      <w:tr>
        <w:trPr>
          <w:trHeight w:val="135"/>
        </w:trPr>
        <w:tc>
          <w:tcPr>
            <w:tcW w:w="6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Total assets</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115,606</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115,606</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147,157</w:t>
            </w:r>
          </w:p>
        </w:tc>
      </w:tr>
      <w:tr>
        <w:trPr>
          <w:trHeight w:val="135"/>
        </w:trPr>
        <w:tc>
          <w:tcPr>
            <w:tcW w:w="6120" w:type="dxa"/>
            <w:vAlign w:val="bottom"/>
            <w:gridSpan w:val="2"/>
          </w:tcPr>
          <w:p>
            <w:pPr>
              <w:spacing w:after="0" w:line="135" w:lineRule="exact"/>
              <w:rPr>
                <w:sz w:val="20"/>
                <w:szCs w:val="20"/>
                <w:color w:val="auto"/>
              </w:rPr>
            </w:pPr>
            <w:r>
              <w:rPr>
                <w:rFonts w:ascii="Arial" w:cs="Arial" w:eastAsia="Arial" w:hAnsi="Arial"/>
                <w:sz w:val="12"/>
                <w:szCs w:val="12"/>
                <w:color w:val="auto"/>
              </w:rPr>
              <w:t>Total liabilities</w:t>
            </w:r>
          </w:p>
        </w:tc>
        <w:tc>
          <w:tcPr>
            <w:tcW w:w="1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41,852</w:t>
            </w:r>
          </w:p>
        </w:tc>
        <w:tc>
          <w:tcPr>
            <w:tcW w:w="1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41,852</w:t>
            </w:r>
          </w:p>
        </w:tc>
        <w:tc>
          <w:tcPr>
            <w:tcW w:w="1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40,303</w:t>
            </w:r>
          </w:p>
        </w:tc>
      </w:tr>
      <w:tr>
        <w:trPr>
          <w:trHeight w:val="135"/>
        </w:trPr>
        <w:tc>
          <w:tcPr>
            <w:tcW w:w="6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Convertible preferred stock</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132,698</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r>
      <w:tr>
        <w:trPr>
          <w:trHeight w:val="142"/>
        </w:trPr>
        <w:tc>
          <w:tcPr>
            <w:tcW w:w="6120" w:type="dxa"/>
            <w:vAlign w:val="bottom"/>
            <w:gridSpan w:val="2"/>
          </w:tcPr>
          <w:p>
            <w:pPr>
              <w:spacing w:after="0"/>
              <w:rPr>
                <w:sz w:val="20"/>
                <w:szCs w:val="20"/>
                <w:color w:val="auto"/>
              </w:rPr>
            </w:pPr>
            <w:r>
              <w:rPr>
                <w:rFonts w:ascii="Arial" w:cs="Arial" w:eastAsia="Arial" w:hAnsi="Arial"/>
                <w:sz w:val="12"/>
                <w:szCs w:val="12"/>
                <w:color w:val="auto"/>
              </w:rPr>
              <w:t>Total stockholders' (deficit) equity</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(58,944)</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73,754</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106,854</w:t>
            </w:r>
          </w:p>
        </w:tc>
      </w:tr>
      <w:tr>
        <w:trPr>
          <w:trHeight w:val="65"/>
        </w:trPr>
        <w:tc>
          <w:tcPr>
            <w:tcW w:w="92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147" w:lineRule="exact"/>
        <w:rPr>
          <w:sz w:val="20"/>
          <w:szCs w:val="20"/>
          <w:color w:val="auto"/>
        </w:rPr>
      </w:pPr>
    </w:p>
    <w:p>
      <w:pPr>
        <w:ind w:left="1620" w:right="60" w:hanging="355"/>
        <w:spacing w:after="0" w:line="193" w:lineRule="auto"/>
        <w:tabs>
          <w:tab w:leader="none" w:pos="1620" w:val="left"/>
        </w:tabs>
        <w:numPr>
          <w:ilvl w:val="0"/>
          <w:numId w:val="17"/>
        </w:numPr>
        <w:rPr>
          <w:rFonts w:ascii="Arial" w:cs="Arial" w:eastAsia="Arial" w:hAnsi="Arial"/>
          <w:sz w:val="14"/>
          <w:szCs w:val="14"/>
          <w:color w:val="auto"/>
          <w:vertAlign w:val="superscript"/>
        </w:rPr>
      </w:pPr>
      <w:r>
        <w:rPr>
          <w:rFonts w:ascii="Arial" w:cs="Arial" w:eastAsia="Arial" w:hAnsi="Arial"/>
          <w:sz w:val="10"/>
          <w:szCs w:val="10"/>
          <w:color w:val="auto"/>
        </w:rPr>
        <w:t>Pro forma amounts reflect (i) the automatic conversion of all of our outstanding shares of preferred stock into shares of Class A common stock upon the closing of our initial public offering and (ii) the stock-based compensation expense of $1.9 million associated with the vesting of restricted stock units upon closing of this offering.</w:t>
      </w:r>
    </w:p>
    <w:p>
      <w:pPr>
        <w:spacing w:after="0" w:line="102" w:lineRule="exact"/>
        <w:rPr>
          <w:rFonts w:ascii="Arial" w:cs="Arial" w:eastAsia="Arial" w:hAnsi="Arial"/>
          <w:sz w:val="14"/>
          <w:szCs w:val="14"/>
          <w:color w:val="auto"/>
          <w:vertAlign w:val="superscript"/>
        </w:rPr>
      </w:pPr>
    </w:p>
    <w:p>
      <w:pPr>
        <w:ind w:left="1620" w:hanging="355"/>
        <w:spacing w:after="0" w:line="208" w:lineRule="auto"/>
        <w:tabs>
          <w:tab w:leader="none" w:pos="1620" w:val="left"/>
        </w:tabs>
        <w:numPr>
          <w:ilvl w:val="0"/>
          <w:numId w:val="17"/>
        </w:numPr>
        <w:rPr>
          <w:rFonts w:ascii="Arial" w:cs="Arial" w:eastAsia="Arial" w:hAnsi="Arial"/>
          <w:sz w:val="14"/>
          <w:szCs w:val="14"/>
          <w:color w:val="auto"/>
          <w:vertAlign w:val="superscript"/>
        </w:rPr>
      </w:pPr>
      <w:r>
        <w:rPr>
          <w:rFonts w:ascii="Arial" w:cs="Arial" w:eastAsia="Arial" w:hAnsi="Arial"/>
          <w:sz w:val="10"/>
          <w:szCs w:val="10"/>
          <w:color w:val="auto"/>
        </w:rPr>
        <w:t>Pro forma as adjusted amounts reflect the pro forma conversion adjustments described in footnote (1) above, as well as the sale by us of 2,500,000 shares of our Class A common stock in this offering at the initial public offering price of $16.00 per share, after deducting the underwriting discounts and commissions and estimated offering expenses payable by us. Additionally, for purposes of the pro forma as adjusted amounts shown above, the net proceeds to be received by us from the sale of Class A common stock in this offering of $33.1 million have been increased by approximately $305,000 to reflect the estimated offering expenses that had been paid by us as of June 30, 2017.</w:t>
      </w: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20"/>
          </w:cols>
          <w:pgMar w:left="220" w:top="142" w:right="45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RISK FACTORS</w:t>
      </w:r>
    </w:p>
    <w:p>
      <w:pPr>
        <w:spacing w:after="0" w:line="143" w:lineRule="exact"/>
        <w:rPr>
          <w:sz w:val="20"/>
          <w:szCs w:val="20"/>
          <w:color w:val="auto"/>
        </w:rPr>
      </w:pPr>
    </w:p>
    <w:p>
      <w:pPr>
        <w:ind w:right="80" w:firstLine="325"/>
        <w:spacing w:after="0" w:line="243" w:lineRule="auto"/>
        <w:rPr>
          <w:sz w:val="20"/>
          <w:szCs w:val="20"/>
          <w:color w:val="auto"/>
        </w:rPr>
      </w:pPr>
      <w:r>
        <w:rPr>
          <w:rFonts w:ascii="Arial" w:cs="Arial" w:eastAsia="Arial" w:hAnsi="Arial"/>
          <w:sz w:val="12"/>
          <w:szCs w:val="12"/>
          <w:i w:val="1"/>
          <w:iCs w:val="1"/>
          <w:color w:val="auto"/>
        </w:rPr>
        <w:t>Investing in our Class A common stock involves a high degree of risk. You should consider carefully the risks and uncertainties described below, together with all of the other information contained in this prospectus, including "Management's Discussion and Analysis of Financial Condition and Results of Operations" and our consolidated financial statements and related notes, before deciding whether to purchase shares of our Class A common stock. Our business, financial condition, operating results, cash flow, and prospects could be materially and adversely affected by any of these risks or uncertainties. In that event, the trading price of our Class A common stock could decline and you could lose part or all of your investment. See "Special Note Regarding Forward-Looking Statements and Industry and Market Data."</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127"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after the initial term. While the majority of our contracts with dealers currently include one-month initial terms, we are in the process of transitioning many of these dealers to contracts with one-year initial terms. The contracts do not contain contractual obligations requiring a dealer to maintain its relationship with us beyond the initial term. Accordingly, these dealers may cancel their subscriptions with us in accordance with the terms of their subscription agreements. If a significant number of our paying dealers terminate their subscriptions with us, our revenue would be materially and adversely affected.</w:t>
      </w:r>
    </w:p>
    <w:p>
      <w:pPr>
        <w:spacing w:after="0" w:line="127" w:lineRule="exact"/>
        <w:rPr>
          <w:sz w:val="20"/>
          <w:szCs w:val="20"/>
          <w:color w:val="auto"/>
        </w:rPr>
      </w:pPr>
    </w:p>
    <w:p>
      <w:pPr>
        <w:ind w:right="420"/>
        <w:spacing w:after="0" w:line="262" w:lineRule="auto"/>
        <w:rPr>
          <w:sz w:val="20"/>
          <w:szCs w:val="20"/>
          <w:color w:val="auto"/>
        </w:rPr>
      </w:pPr>
      <w:r>
        <w:rPr>
          <w:rFonts w:ascii="Arial" w:cs="Arial" w:eastAsia="Arial" w:hAnsi="Arial"/>
          <w:sz w:val="12"/>
          <w:szCs w:val="12"/>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127"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If paying dealers do not experience the volume of consumer connections that they expect during their monthly or annual subscription period, or do not experience the level of car sales they expect from those connections, they may terminate their subscriptions or may insist on renewing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39" w:lineRule="exact"/>
        <w:rPr>
          <w:sz w:val="20"/>
          <w:szCs w:val="20"/>
          <w:color w:val="auto"/>
        </w:rPr>
      </w:pPr>
    </w:p>
    <w:p>
      <w:pPr>
        <w:jc w:val="both"/>
        <w:ind w:right="100" w:firstLine="326"/>
        <w:spacing w:after="0" w:line="269" w:lineRule="auto"/>
        <w:rPr>
          <w:sz w:val="20"/>
          <w:szCs w:val="20"/>
          <w:color w:val="auto"/>
        </w:rPr>
      </w:pPr>
      <w:r>
        <w:rPr>
          <w:rFonts w:ascii="Arial" w:cs="Arial" w:eastAsia="Arial" w:hAnsi="Arial"/>
          <w:sz w:val="11"/>
          <w:szCs w:val="11"/>
          <w:color w:val="auto"/>
        </w:rPr>
        <w:t>We allow dealers to list their inventory in our marketplace for free; however dealer identity and contact information is not permitted in such free listings and these dealers do not receive access to the paid features of our marketplace. Many dealers start with us on a non-paying basis and then become paid customers in order to take advantage of the features of our Enhanced or Featured Listing products. If dealers using our site do not convert to our paid offerings at the rates we expect, or if a greater than expected number of our paying dealers elect to terminate their subscriptions, our business and financial results would be harmed.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dealers or other advertisers reduce their advertising spend with us and we are unable to attract new advertisers, our business would be harmed.</w:t>
      </w:r>
    </w:p>
    <w:p>
      <w:pPr>
        <w:spacing w:after="0" w:line="155" w:lineRule="exact"/>
        <w:rPr>
          <w:sz w:val="20"/>
          <w:szCs w:val="20"/>
          <w:color w:val="auto"/>
        </w:rPr>
      </w:pPr>
    </w:p>
    <w:p>
      <w:pPr>
        <w:jc w:val="both"/>
        <w:ind w:right="140" w:firstLine="319"/>
        <w:spacing w:after="0" w:line="237" w:lineRule="auto"/>
        <w:rPr>
          <w:sz w:val="20"/>
          <w:szCs w:val="20"/>
          <w:color w:val="auto"/>
        </w:rPr>
      </w:pPr>
      <w:r>
        <w:rPr>
          <w:rFonts w:ascii="Arial" w:cs="Arial" w:eastAsia="Arial" w:hAnsi="Arial"/>
          <w:sz w:val="12"/>
          <w:szCs w:val="12"/>
          <w:color w:val="auto"/>
        </w:rPr>
        <w:t>A significant amount of our revenue is derived from advertising revenues generated primarily through advertising sales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141" w:lineRule="exact"/>
        <w:rPr>
          <w:sz w:val="20"/>
          <w:szCs w:val="20"/>
          <w:color w:val="auto"/>
        </w:rPr>
      </w:pPr>
    </w:p>
    <w:p>
      <w:pPr>
        <w:ind w:left="720" w:hanging="368"/>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increase the number of consumers using our marketplace;</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compete effectively for advertising spending with other online automobile marketplaces;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continue to develop our advertising products in our marketplace;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keep pace with changes in technology and the practices and offerings of our competitors;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offer an attractive return on investment, or ROI, to our advertisers for their advertising spend with us.</w:t>
      </w:r>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agreements with dealers for display advertising generally include initial terms ranging from one month to one year and may be terminated by us with 30 days' notice and by dealers with 30 days' notice after the initial term. The contracts do not contain contractual obligations requiring an advertiser to maintain its relationship with us beyond the initial term. Our other advertising contracts, including those with auto manufacturers, are typically for a defined period of time and do not have ongoing commitments to advertise on our site beyond the initial time period. We may not succeed in capturing a greater share of our advertisers' spending if we are unable to convince advertisers of the effectiveness or superiority of our marketplace as compared to alternative channels. If current advertisers reduce or end their advertising spending with us and we are unable to attract new advertisers, our advertising revenue and business and financial results would be harmed.</w:t>
      </w:r>
    </w:p>
    <w:p>
      <w:pPr>
        <w:spacing w:after="0" w:line="127" w:lineRule="exact"/>
        <w:rPr>
          <w:sz w:val="20"/>
          <w:szCs w:val="20"/>
          <w:color w:val="auto"/>
        </w:rPr>
      </w:pPr>
    </w:p>
    <w:p>
      <w:pPr>
        <w:ind w:right="520"/>
        <w:spacing w:after="0" w:line="262" w:lineRule="auto"/>
        <w:rPr>
          <w:sz w:val="20"/>
          <w:szCs w:val="20"/>
          <w:color w:val="auto"/>
        </w:rPr>
      </w:pPr>
      <w:r>
        <w:rPr>
          <w:rFonts w:ascii="Arial" w:cs="Arial" w:eastAsia="Arial" w:hAnsi="Arial"/>
          <w:sz w:val="12"/>
          <w:szCs w:val="12"/>
          <w:b w:val="1"/>
          <w:bCs w:val="1"/>
          <w:i w:val="1"/>
          <w:iCs w:val="1"/>
          <w:color w:val="auto"/>
        </w:rPr>
        <w:t>If we are unable to provide a compelling vehicle search experience to consumers through both our web and mobile platforms, the number of connections between consumers and dealers using our marketplace may decline and our business and financial results would be materially and adversely affected.</w:t>
      </w:r>
    </w:p>
    <w:p>
      <w:pPr>
        <w:spacing w:after="0" w:line="127" w:lineRule="exact"/>
        <w:rPr>
          <w:sz w:val="20"/>
          <w:szCs w:val="20"/>
          <w:color w:val="auto"/>
        </w:rPr>
      </w:pPr>
    </w:p>
    <w:p>
      <w:pPr>
        <w:ind w:firstLine="326"/>
        <w:spacing w:after="0" w:line="262" w:lineRule="auto"/>
        <w:rPr>
          <w:sz w:val="20"/>
          <w:szCs w:val="20"/>
          <w:color w:val="auto"/>
        </w:rPr>
      </w:pPr>
      <w:r>
        <w:rPr>
          <w:rFonts w:ascii="Arial" w:cs="Arial" w:eastAsia="Arial" w:hAnsi="Arial"/>
          <w:sz w:val="11"/>
          <w:szCs w:val="11"/>
          <w:color w:val="auto"/>
        </w:rPr>
        <w:t>If we fail to continue to provide a compelling vehicle search experience to consumers, the number of connections between consumers and dealers facilitated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129" w:lineRule="exact"/>
        <w:rPr>
          <w:sz w:val="20"/>
          <w:szCs w:val="20"/>
          <w:color w:val="auto"/>
        </w:rPr>
      </w:pPr>
    </w:p>
    <w:p>
      <w:pPr>
        <w:ind w:left="5660" w:right="5260" w:hanging="5308"/>
        <w:spacing w:after="0" w:line="397" w:lineRule="auto"/>
        <w:tabs>
          <w:tab w:leader="none" w:pos="704" w:val="left"/>
        </w:tabs>
        <w:numPr>
          <w:ilvl w:val="0"/>
          <w:numId w:val="19"/>
        </w:numPr>
        <w:rPr>
          <w:rFonts w:ascii="Arial" w:cs="Arial" w:eastAsia="Arial" w:hAnsi="Arial"/>
          <w:sz w:val="11"/>
          <w:szCs w:val="11"/>
          <w:color w:val="auto"/>
        </w:rPr>
      </w:pPr>
      <w:r>
        <w:rPr>
          <w:rFonts w:ascii="Arial" w:cs="Arial" w:eastAsia="Arial" w:hAnsi="Arial"/>
          <w:sz w:val="11"/>
          <w:szCs w:val="11"/>
          <w:color w:val="auto"/>
        </w:rPr>
        <w:t>our ability to maintain an attractive marketplace for consumers and dealers, including on mobile platforms;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217170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hanging="368"/>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continue to innovate and introduce products for our marketplace on mobile platforms;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launch new products that are effective and have a high degree of consumer engagement;</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maintain the compatibility of our mobile application with operating systems, such as iOS and Android, and with popular mobile devices running such operating systems;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access a sufficient amount of data to enable us to provide relevant information to consumers, including pricing information and accurate vehicle details.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If use of our marketplace, particularly on mobile devices, does not continue to grow, our business and operating results would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Internet search engines to drive traffic to our website, and if we fail to appear prominently in the search results, our traffic would decline and our business would be adversely affected.</w:t>
      </w:r>
    </w:p>
    <w:p>
      <w:pPr>
        <w:spacing w:after="0" w:line="155" w:lineRule="exact"/>
        <w:rPr>
          <w:sz w:val="20"/>
          <w:szCs w:val="20"/>
          <w:color w:val="auto"/>
        </w:rPr>
      </w:pPr>
    </w:p>
    <w:p>
      <w:pPr>
        <w:ind w:firstLine="326"/>
        <w:spacing w:after="0" w:line="260" w:lineRule="auto"/>
        <w:rPr>
          <w:sz w:val="20"/>
          <w:szCs w:val="20"/>
          <w:color w:val="auto"/>
        </w:rPr>
      </w:pPr>
      <w:r>
        <w:rPr>
          <w:rFonts w:ascii="Arial" w:cs="Arial" w:eastAsia="Arial" w:hAnsi="Arial"/>
          <w:sz w:val="11"/>
          <w:szCs w:val="11"/>
          <w:color w:val="auto"/>
        </w:rPr>
        <w:t>We depend, in part, on Internet search engines such as Google, Bing, and Yahoo! to drive traffic to our website.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 has experienced fluctuations in search result rankings in the past, and we anticipate similar fluctuations in the future. Any reduction in the number of consumers directed to our website through Internet search engines could harm our business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inability by us to develop new products, or achieve widespread consumer adoption of those products, could negatively impact our business and financial results.</w:t>
      </w:r>
    </w:p>
    <w:p>
      <w:pPr>
        <w:spacing w:after="0" w:line="155"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Our success depends on our continued innovation to provide products and services that make our marketplace, website, and mobile application useful for consumers. These new products must be widely adopted by consumers in order for us to continue to attract dealers to our subscription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and of engaging third-party service providers and other research and development costs.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1"/>
          <w:szCs w:val="11"/>
          <w:color w:val="auto"/>
        </w:rPr>
        <w:t>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who want to advertise in our marketplace, which could, in turn, harm our business and financial results.</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127" w:lineRule="exact"/>
        <w:rPr>
          <w:sz w:val="20"/>
          <w:szCs w:val="20"/>
          <w:color w:val="auto"/>
        </w:rPr>
      </w:pPr>
    </w:p>
    <w:p>
      <w:pPr>
        <w:ind w:right="100" w:firstLine="326"/>
        <w:spacing w:after="0" w:line="236" w:lineRule="auto"/>
        <w:rPr>
          <w:sz w:val="20"/>
          <w:szCs w:val="20"/>
          <w:color w:val="auto"/>
        </w:rPr>
      </w:pPr>
      <w:r>
        <w:rPr>
          <w:rFonts w:ascii="Arial" w:cs="Arial" w:eastAsia="Arial" w:hAnsi="Arial"/>
          <w:sz w:val="12"/>
          <w:szCs w:val="12"/>
          <w:color w:val="auto"/>
        </w:rPr>
        <w:t>We obtain data regarding available cars from many third-party data providers, including inventory management systems, automotive websites, customer relationship management systems, dealer management systems, and third-party data licensors. Our business relies on our ability to obtain data for the benefit of consumers and dealers using our marketplace. The large amount of inventory and vehicle information available in our marketplace is critical to the value we provide for consumers. The loss or interruption of such inventory data and other vehicle information, such as vehicle history,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While we believe we have identified other providers in the event any of our current providers terminate their relationships with us, or our service is interrupted, there may be a delay while we transition to new providers, which could disrupt our marketplace.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failure to build and maintain our brand would harm our ability to grow our audience and to expand the use of our marketplace by consumers and dealers.</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Complaints or negative publicity about our business practices,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41" w:lineRule="exact"/>
        <w:rPr>
          <w:sz w:val="20"/>
          <w:szCs w:val="20"/>
          <w:color w:val="auto"/>
        </w:rPr>
      </w:pPr>
    </w:p>
    <w:p>
      <w:pPr>
        <w:jc w:val="both"/>
        <w:ind w:right="80" w:firstLine="323"/>
        <w:spacing w:after="0" w:line="237" w:lineRule="auto"/>
        <w:rPr>
          <w:sz w:val="20"/>
          <w:szCs w:val="20"/>
          <w:color w:val="auto"/>
        </w:rPr>
      </w:pPr>
      <w:r>
        <w:rPr>
          <w:rFonts w:ascii="Arial" w:cs="Arial" w:eastAsia="Arial" w:hAnsi="Arial"/>
          <w:sz w:val="12"/>
          <w:szCs w:val="12"/>
          <w:color w:val="auto"/>
        </w:rPr>
        <w:t>The "Questions" section of our website enables consumers and dealers using our site to communicate with one another and other persons seeking information or advice on the Internet. Although all such information or feedback is generated by users and not by us, claims of defamation or other injury could be made against us for content posted on our website. In addition, negative publicity and user sentiment generated as a result of fraudulent or deceptive conduct by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users of our marketplace could damage our reputation, reduce our ability to attract new users or retain our current users, and diminish the value of our brand.</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While we have historically focused our marketing efforts on Internet and mobile channels, we are beginning brand-focused campaigns using television and radio and these efforts may not be successful.</w:t>
      </w:r>
    </w:p>
    <w:p>
      <w:pPr>
        <w:spacing w:after="0" w:line="167" w:lineRule="exact"/>
        <w:rPr>
          <w:sz w:val="20"/>
          <w:szCs w:val="20"/>
          <w:color w:val="auto"/>
        </w:rPr>
      </w:pPr>
    </w:p>
    <w:p>
      <w:pPr>
        <w:ind w:right="120" w:firstLine="319"/>
        <w:spacing w:after="0" w:line="237" w:lineRule="auto"/>
        <w:rPr>
          <w:sz w:val="20"/>
          <w:szCs w:val="20"/>
          <w:color w:val="auto"/>
        </w:rPr>
      </w:pPr>
      <w:r>
        <w:rPr>
          <w:rFonts w:ascii="Arial" w:cs="Arial" w:eastAsia="Arial" w:hAnsi="Arial"/>
          <w:sz w:val="12"/>
          <w:szCs w:val="12"/>
          <w:color w:val="auto"/>
        </w:rPr>
        <w:t>As a consumer brand, it is important for us to increase the visibility of our brand with potential users of our marketplace. While we have historically focused our marketing efforts on Internet and mobile channels, we are beginning to advertise through television, radio, and other channels we have not used previously,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recent, rapid growth is not indicative of our future growth, and our revenue growth rate will decline in the future.</w:t>
      </w:r>
    </w:p>
    <w:p>
      <w:pPr>
        <w:spacing w:after="0" w:line="155"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Our revenue grew from $98.6 million in 2015 to $198.1 million in 2016, representing a 101% increase between such periods, and grew from $84.2 million for the six months ended June 30, 2016 to $143.3 million for the six months ended June 30, 2017, representing a 70% increase between such periods. In the future, our revenue growth rates will inevitably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139" w:lineRule="exact"/>
        <w:rPr>
          <w:sz w:val="20"/>
          <w:szCs w:val="20"/>
          <w:color w:val="auto"/>
        </w:rPr>
      </w:pPr>
    </w:p>
    <w:p>
      <w:pPr>
        <w:ind w:left="720" w:hanging="368"/>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 the number of consumers using our marketplace;</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maintain and expand the number of dealers that subscribe to our marketplace;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attract and retain advertisers placing advertisements in our marketplace;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further improve the quality of our marketplace, and introduce high quality new products;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 the number of connections between consumers and dealers using our marketplace.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expand effectively into new markets, both domestically and abroad, our revenue, business, and financial results will be harmed.</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intend to continue to expand our operations to target new markets, both domestically and abroad, and there can be no assurance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competition for consumers and dealers using our marketplace, monetizing dealers, new regulatory environments and laws, different consumer shopping habits than those we are familiar with in the United States, and our ability to expand our number of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ind w:right="240"/>
        <w:spacing w:after="0" w:line="262" w:lineRule="auto"/>
        <w:rPr>
          <w:sz w:val="20"/>
          <w:szCs w:val="20"/>
          <w:color w:val="auto"/>
        </w:rPr>
      </w:pPr>
      <w:r>
        <w:rPr>
          <w:rFonts w:ascii="Arial" w:cs="Arial" w:eastAsia="Arial" w:hAnsi="Arial"/>
          <w:sz w:val="12"/>
          <w:szCs w:val="12"/>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127"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have started to expand our operations internationally. We recently launched marketplaces in Canada, the United Kingdom, and Germany and plan to enter additional markets in the next twelve months. We expect to expand our international operations significantly by continuing to enter new markets abroad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platform is now available in English, French, German, and Spanish, and we will need to make our platform available in additional languages as we expand into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systems, alternative dispute resolution systems, regulatory systems, and commercial infrastructures. Expanding internationally may subject us to new risks or increase our exposure in connection with current risks, including risks associated with:</w:t>
      </w:r>
    </w:p>
    <w:p>
      <w:pPr>
        <w:spacing w:after="0" w:line="141" w:lineRule="exact"/>
        <w:rPr>
          <w:sz w:val="20"/>
          <w:szCs w:val="20"/>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recruiting and retaining qualified, multilingual employees, including sales personnel;</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increased competition from local websites and guides and potential preferences by local populations for local providers;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compliance with applicable foreign laws and regulations, including different privacy, censorship, and liability standards and regulations, and different intellectual property laws;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providing solutions in different languages for different cultures, which may require that we modify our solutions and features so they are culturally relevant in different countries;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enforceability of our intellectual property rights;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credit risk and higher levels of payment fraud;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compliance with anti-bribery laws, including compliance with the Foreign Corrupt Practices Act and the U.K. Bribery Act;</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currency exchange rate fluctuations;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foreign exchange controls that might prevent us from repatriating cash earned outside the United States;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political and economic instability in some countries;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double taxation of our international earnings and potentially adverse tax consequences due to changes in the tax laws of the United States or the foreign jurisdictions in which we operate;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higher costs of doing business internationally.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participate in a highly competitive market, and pressure from existing and new companies may adversely affect our business and operating results.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We face significant competition from companies that provide listings, information, lead generation, and car-buying services designed to help consumers shop for cars and to enable dealers to reach these consumers.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Our competitors offer various marketplaces, products, and services that compete with us. Some of these competitors include:</w:t>
      </w:r>
    </w:p>
    <w:p>
      <w:pPr>
        <w:spacing w:after="0" w:line="141" w:lineRule="exact"/>
        <w:rPr>
          <w:sz w:val="20"/>
          <w:szCs w:val="20"/>
          <w:color w:val="auto"/>
        </w:rPr>
      </w:pPr>
    </w:p>
    <w:p>
      <w:pPr>
        <w:ind w:left="720" w:hanging="368"/>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major U.S. online automotive marketplaces: AutoTrader.com, Cars.com, and TrueCar.com;</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U.S. online automotive content publishers, such as Edmunds.com and KBB.com;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Internet search engines;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peer to peer marketplaces;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sites operated by individual automobile dealers.</w:t>
      </w:r>
    </w:p>
    <w:p>
      <w:pPr>
        <w:spacing w:after="0" w:line="141" w:lineRule="exact"/>
        <w:rPr>
          <w:sz w:val="20"/>
          <w:szCs w:val="20"/>
          <w:color w:val="auto"/>
        </w:rPr>
      </w:pPr>
    </w:p>
    <w:p>
      <w:pPr>
        <w:ind w:right="100" w:firstLine="326"/>
        <w:spacing w:after="0" w:line="281" w:lineRule="auto"/>
        <w:rPr>
          <w:sz w:val="20"/>
          <w:szCs w:val="20"/>
          <w:color w:val="auto"/>
        </w:rPr>
      </w:pPr>
      <w:r>
        <w:rPr>
          <w:rFonts w:ascii="Arial" w:cs="Arial" w:eastAsia="Arial" w:hAnsi="Arial"/>
          <w:sz w:val="11"/>
          <w:szCs w:val="11"/>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18"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Additionally, they may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In addition, to the extent that any of our competitors have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41"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adversely affected if dealer associations or auto manufacturers were to discourage or otherwise deter dealers from subscribing to our marketplace.</w:t>
      </w:r>
    </w:p>
    <w:p>
      <w:pPr>
        <w:spacing w:after="0" w:line="155" w:lineRule="exact"/>
        <w:rPr>
          <w:sz w:val="20"/>
          <w:szCs w:val="20"/>
          <w:color w:val="auto"/>
        </w:rPr>
      </w:pPr>
    </w:p>
    <w:p>
      <w:pPr>
        <w:ind w:right="140" w:firstLine="319"/>
        <w:spacing w:after="0" w:line="237" w:lineRule="auto"/>
        <w:rPr>
          <w:sz w:val="20"/>
          <w:szCs w:val="20"/>
          <w:color w:val="auto"/>
        </w:rPr>
      </w:pPr>
      <w:r>
        <w:rPr>
          <w:rFonts w:ascii="Arial" w:cs="Arial" w:eastAsia="Arial" w:hAnsi="Arial"/>
          <w:sz w:val="12"/>
          <w:szCs w:val="12"/>
          <w:color w:val="auto"/>
        </w:rPr>
        <w:t>Although the dealership industry is highly fragmented, a small number of interested parties have significant influence over the industry. These parties include state and national dealership associations, state regulators, car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41"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Furthermore, auto manufacturers may provide their franchise dealers with financial or other marketing support conditioned upon such dealers adhering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Dealer closures or consolidations could reduce demand for our products, which may decrease our revenue.</w:t>
      </w:r>
    </w:p>
    <w:p>
      <w:pPr>
        <w:spacing w:after="0" w:line="155" w:lineRule="exact"/>
        <w:rPr>
          <w:sz w:val="20"/>
          <w:szCs w:val="20"/>
          <w:color w:val="auto"/>
        </w:rPr>
      </w:pPr>
    </w:p>
    <w:p>
      <w:pPr>
        <w:ind w:right="160" w:firstLine="326"/>
        <w:spacing w:after="0" w:line="237" w:lineRule="auto"/>
        <w:rPr>
          <w:sz w:val="20"/>
          <w:szCs w:val="20"/>
          <w:color w:val="auto"/>
        </w:rPr>
      </w:pPr>
      <w:r>
        <w:rPr>
          <w:rFonts w:ascii="Arial" w:cs="Arial" w:eastAsia="Arial" w:hAnsi="Arial"/>
          <w:sz w:val="12"/>
          <w:szCs w:val="12"/>
          <w:color w:val="auto"/>
        </w:rPr>
        <w:t>In the past, the number of U.S.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third-party service providers for many aspects of our business, and any failure to maintain these relationships could harm our business.</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success will depend upon our relationships with third parties, including those with our payment processor and data center host, our security providers, our data providers for dealer inventory and vehicle information, our human resources information system provider, our billing subscription software provider, our customer relationship manager software provider, and our general ledger provider. If these third parties experience difficulty meeting our requirements or standards, or if the license agreements we have entered into with such third parties are terminated or not renewed, it could make it difficult for us to operate some aspects of our business, which could damage our business and reputation. In addition, if such third-party service providers were to cease operations, temporarily or permanently, face financial distress or other business disruptions, increase their fees, or if our relationships with these providers deteriorate, we could suffer increased costs and delays in our ability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continue to grow rapidly, we may not be able to manage our growth effectively.</w:t>
      </w:r>
    </w:p>
    <w:p>
      <w:pPr>
        <w:spacing w:after="0" w:line="155" w:lineRule="exact"/>
        <w:rPr>
          <w:sz w:val="20"/>
          <w:szCs w:val="20"/>
          <w:color w:val="auto"/>
        </w:rPr>
      </w:pPr>
    </w:p>
    <w:p>
      <w:pPr>
        <w:jc w:val="both"/>
        <w:ind w:right="360" w:firstLine="326"/>
        <w:spacing w:after="0" w:line="237" w:lineRule="auto"/>
        <w:rPr>
          <w:sz w:val="20"/>
          <w:szCs w:val="20"/>
          <w:color w:val="auto"/>
        </w:rPr>
      </w:pPr>
      <w:r>
        <w:rPr>
          <w:rFonts w:ascii="Arial" w:cs="Arial" w:eastAsia="Arial" w:hAnsi="Arial"/>
          <w:sz w:val="12"/>
          <w:szCs w:val="12"/>
          <w:color w:val="auto"/>
        </w:rPr>
        <w:t>We have experienced rapid growth in our headcount and operations,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167" w:lineRule="exact"/>
        <w:rPr>
          <w:sz w:val="20"/>
          <w:szCs w:val="20"/>
          <w:color w:val="auto"/>
        </w:rPr>
      </w:pPr>
    </w:p>
    <w:p>
      <w:pPr>
        <w:ind w:right="100" w:firstLine="326"/>
        <w:spacing w:after="0" w:line="236" w:lineRule="auto"/>
        <w:rPr>
          <w:sz w:val="20"/>
          <w:szCs w:val="20"/>
          <w:color w:val="auto"/>
        </w:rPr>
      </w:pPr>
      <w:r>
        <w:rPr>
          <w:rFonts w:ascii="Arial" w:cs="Arial" w:eastAsia="Arial" w:hAnsi="Arial"/>
          <w:sz w:val="12"/>
          <w:szCs w:val="12"/>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successfully respond to changes in the market, our business could be harmed.</w:t>
      </w:r>
    </w:p>
    <w:p>
      <w:pPr>
        <w:spacing w:after="0" w:line="155" w:lineRule="exact"/>
        <w:rPr>
          <w:sz w:val="20"/>
          <w:szCs w:val="20"/>
          <w:color w:val="auto"/>
        </w:rPr>
      </w:pPr>
    </w:p>
    <w:p>
      <w:pPr>
        <w:ind w:right="120" w:firstLine="326"/>
        <w:spacing w:after="0" w:line="236" w:lineRule="auto"/>
        <w:rPr>
          <w:sz w:val="20"/>
          <w:szCs w:val="20"/>
          <w:color w:val="auto"/>
        </w:rPr>
      </w:pPr>
      <w:r>
        <w:rPr>
          <w:rFonts w:ascii="Arial" w:cs="Arial" w:eastAsia="Arial" w:hAnsi="Arial"/>
          <w:sz w:val="12"/>
          <w:szCs w:val="12"/>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 the future be subject to disputes regarding the accuracy of Instant Market Value, Deal Rating, Dealer Rating, and other features of our marketplace.</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We provide consumers using our marketplace with our proprietary Instant Market Value, or IMV, Deal Rating, Dealer Rating, and other features to help them evaluate vehicle listings. Revisions to our automated valuation models, or the algorithms that underlie them, may cause the IMV, Deal Rating, or other features to vary from our expectations regarding the accuracy of these tools. In addition, from time to time, consumers and regulators question or disagree with our IMV, Deal Rating, or Dealer Ratings. Any such questions or disagreements could result in distraction from our business or potentially harm our reputation and could result in a decline in consumers' use of our marketplace or could result in legal disputes.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27" w:lineRule="exact"/>
        <w:rPr>
          <w:sz w:val="20"/>
          <w:szCs w:val="20"/>
          <w:color w:val="auto"/>
        </w:rPr>
      </w:pPr>
    </w:p>
    <w:p>
      <w:pPr>
        <w:ind w:right="60" w:firstLine="326"/>
        <w:spacing w:after="0" w:line="269" w:lineRule="auto"/>
        <w:rPr>
          <w:sz w:val="20"/>
          <w:szCs w:val="20"/>
          <w:color w:val="auto"/>
        </w:rPr>
      </w:pPr>
      <w:r>
        <w:rPr>
          <w:rFonts w:ascii="Arial" w:cs="Arial" w:eastAsia="Arial" w:hAnsi="Arial"/>
          <w:sz w:val="11"/>
          <w:szCs w:val="11"/>
          <w:color w:val="auto"/>
        </w:rPr>
        <w:t>Various aspects of our business are, may become, or may be viewed by regulators from time to time as subject, directly or indirectly, to United States federal and state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requiring us to make adjustments to our marketplace and related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 Motor Vehicle Sales, Advertising and Brokering, and Consumer Protection Laws</w:t>
      </w:r>
    </w:p>
    <w:p>
      <w:pPr>
        <w:spacing w:after="0" w:line="153" w:lineRule="exact"/>
        <w:rPr>
          <w:sz w:val="20"/>
          <w:szCs w:val="20"/>
          <w:color w:val="auto"/>
        </w:rPr>
      </w:pPr>
    </w:p>
    <w:p>
      <w:pPr>
        <w:ind w:right="20" w:firstLine="323"/>
        <w:spacing w:after="0" w:line="259" w:lineRule="auto"/>
        <w:rPr>
          <w:sz w:val="20"/>
          <w:szCs w:val="20"/>
          <w:color w:val="auto"/>
        </w:rPr>
      </w:pPr>
      <w:r>
        <w:rPr>
          <w:rFonts w:ascii="Arial" w:cs="Arial" w:eastAsia="Arial" w:hAnsi="Arial"/>
          <w:sz w:val="11"/>
          <w:szCs w:val="11"/>
          <w:color w:val="auto"/>
        </w:rPr>
        <w:t>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 For example, in April 2015 the Texas Department of Motor Vehicles, or the TX DMV, notified us that it believed the Price History and IMV information on our website violated the prohibition on advertising savings clauses on used vehicles. The TX DMV gave us 30 days to rectify the issue before it would potentially subject dealers it considered to be advertising on our website to fines. After discussions with the TX DMV, we modified our website to remove the Price History and certain references and comparisons to IMV for used vehicles listed on our website that are for sale in Texas.</w:t>
      </w:r>
    </w:p>
    <w:p>
      <w:pPr>
        <w:spacing w:after="0" w:line="132" w:lineRule="exact"/>
        <w:rPr>
          <w:sz w:val="20"/>
          <w:szCs w:val="20"/>
          <w:color w:val="auto"/>
        </w:rPr>
      </w:pPr>
    </w:p>
    <w:p>
      <w:pPr>
        <w:ind w:firstLine="326"/>
        <w:spacing w:after="0" w:line="264" w:lineRule="auto"/>
        <w:rPr>
          <w:sz w:val="20"/>
          <w:szCs w:val="20"/>
          <w:color w:val="auto"/>
        </w:rPr>
      </w:pPr>
      <w:r>
        <w:rPr>
          <w:rFonts w:ascii="Arial" w:cs="Arial" w:eastAsia="Arial" w:hAnsi="Arial"/>
          <w:sz w:val="11"/>
          <w:szCs w:val="11"/>
          <w:color w:val="auto"/>
        </w:rPr>
        <w:t>If state regulators or other third parties take the position in the future that our marketplace or related products violate applicable brokering, bird-dog, consumer protection,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Federal Laws and Regulations</w:t>
      </w:r>
    </w:p>
    <w:p>
      <w:pPr>
        <w:spacing w:after="0" w:line="153" w:lineRule="exact"/>
        <w:rPr>
          <w:sz w:val="20"/>
          <w:szCs w:val="20"/>
          <w:color w:val="auto"/>
        </w:rPr>
      </w:pPr>
    </w:p>
    <w:p>
      <w:pPr>
        <w:ind w:firstLine="323"/>
        <w:spacing w:after="0" w:line="239" w:lineRule="auto"/>
        <w:rPr>
          <w:sz w:val="20"/>
          <w:szCs w:val="20"/>
          <w:color w:val="auto"/>
        </w:rPr>
      </w:pPr>
      <w:r>
        <w:rPr>
          <w:rFonts w:ascii="Arial" w:cs="Arial" w:eastAsia="Arial" w:hAnsi="Arial"/>
          <w:sz w:val="12"/>
          <w:szCs w:val="12"/>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2"/>
          <w:szCs w:val="12"/>
          <w:color w:val="auto"/>
        </w:rPr>
        <w:t>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39" w:lineRule="exact"/>
        <w:rPr>
          <w:sz w:val="20"/>
          <w:szCs w:val="20"/>
          <w:color w:val="auto"/>
        </w:rPr>
      </w:pPr>
    </w:p>
    <w:p>
      <w:pPr>
        <w:ind w:right="140" w:firstLine="326"/>
        <w:spacing w:after="0" w:line="236" w:lineRule="auto"/>
        <w:rPr>
          <w:sz w:val="20"/>
          <w:szCs w:val="20"/>
          <w:color w:val="auto"/>
        </w:rPr>
      </w:pPr>
      <w:r>
        <w:rPr>
          <w:rFonts w:ascii="Arial" w:cs="Arial" w:eastAsia="Arial" w:hAnsi="Arial"/>
          <w:sz w:val="12"/>
          <w:szCs w:val="12"/>
          <w:color w:val="auto"/>
        </w:rPr>
        <w:t>Our website and mobile application enable us, dealers, and users to send and receive text messages and other mobile phone communications in certain circumstances.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involves fact-specific analyses.</w:t>
      </w:r>
    </w:p>
    <w:p>
      <w:pPr>
        <w:spacing w:after="0" w:line="141" w:lineRule="exact"/>
        <w:rPr>
          <w:sz w:val="20"/>
          <w:szCs w:val="20"/>
          <w:color w:val="auto"/>
        </w:rPr>
      </w:pPr>
    </w:p>
    <w:p>
      <w:pPr>
        <w:ind w:right="40" w:firstLine="319"/>
        <w:spacing w:after="0" w:line="236" w:lineRule="auto"/>
        <w:rPr>
          <w:sz w:val="20"/>
          <w:szCs w:val="20"/>
          <w:color w:val="auto"/>
        </w:rPr>
      </w:pPr>
      <w:r>
        <w:rPr>
          <w:rFonts w:ascii="Arial" w:cs="Arial" w:eastAsia="Arial" w:hAnsi="Arial"/>
          <w:sz w:val="12"/>
          <w:szCs w:val="12"/>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changes to the TCPA or its interpretation that further restrict the way users and dealers interact through our website and mobile application, or any governmental or private enforcement actions related thereto, could adversely affect our ability to attract customers and could harm our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Federal Antitrust Laws</w:t>
      </w:r>
    </w:p>
    <w:p>
      <w:pPr>
        <w:spacing w:after="0" w:line="153"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w:t>
      </w:r>
    </w:p>
    <w:p>
      <w:pPr>
        <w:spacing w:after="0" w:line="153"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Claims could be made against us under both United States and foreign laws, including claims for defamation, libel, invasion of privacy, copyright or trademark infringement, or claims based on other theories related to the nature and content of the materials disseminated by users of our marketplace and the "Questions" section of our website.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80" w:firstLine="323"/>
        <w:spacing w:after="0" w:line="261" w:lineRule="auto"/>
        <w:rPr>
          <w:sz w:val="20"/>
          <w:szCs w:val="20"/>
          <w:color w:val="auto"/>
        </w:rPr>
      </w:pPr>
      <w:r>
        <w:rPr>
          <w:rFonts w:ascii="Arial" w:cs="Arial" w:eastAsia="Arial" w:hAnsi="Arial"/>
          <w:sz w:val="11"/>
          <w:szCs w:val="11"/>
          <w:color w:val="auto"/>
        </w:rPr>
        <w:t>The foregoing description of laws and regulations to which we are or may be subject is not exhaustive, and the regulatory framework governing our operations is subject to continuous change. As we expand our operations internationally, we are and will continue to be exposed to legal and regulatory risks including with respect to privacy, tax, law enforcement, content, intellectual property,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risks related to the larger automotive industry ecosystem, including consumer demand, global supply chain challenges, and other macroeconomic issues.</w:t>
      </w:r>
    </w:p>
    <w:p>
      <w:pPr>
        <w:spacing w:after="0" w:line="155" w:lineRule="exact"/>
        <w:rPr>
          <w:sz w:val="20"/>
          <w:szCs w:val="20"/>
          <w:color w:val="auto"/>
        </w:rPr>
      </w:pPr>
    </w:p>
    <w:p>
      <w:pPr>
        <w:ind w:firstLine="326"/>
        <w:spacing w:after="0" w:line="260" w:lineRule="auto"/>
        <w:rPr>
          <w:sz w:val="20"/>
          <w:szCs w:val="20"/>
          <w:color w:val="auto"/>
        </w:rPr>
      </w:pPr>
      <w:r>
        <w:rPr>
          <w:rFonts w:ascii="Arial" w:cs="Arial" w:eastAsia="Arial" w:hAnsi="Arial"/>
          <w:sz w:val="11"/>
          <w:szCs w:val="11"/>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reductions in business and consumer confidence, stock market volatility, and increased unemployment. 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constituents, including targeted incentive programs. In addition, our business may be negatively affected by challenges to the larger automotive industry ecosystem, including global supply chain challenges and other macroeconomic issues. The foregoing could have a material adverse effect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dedication to making decisions based primarily on the best interests of our marketplace may cause us to forgo short-term gains in pursuit of potential but uncertain long-term growth.</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Our guiding principle is to build our business by making decisions based primarily upon the best interests of our entire marketplace, including consumers, dealers, and other constituents, which we believe has been essential to our success in increasing our user growth rate and engagement and has served the long-term interests of our company and our stockholders. In the past, we have forgone, and we will in the future continue to forgo, certain expansion or short term revenue opportunities that we do not believe are in the best interests of our marketplace and its users, even if such decisions negatively impact our results of operations in the short term. For example, we have begun to manage the text-chat feature of our website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charging for this feature and are instead focusing on the potential long-term value of this feature to our marketplace and its users. However, this strategy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may not result in the long-term benefits that we expect, in which case our user traffic and engagement, business, and financial results could be harmed.</w:t>
      </w:r>
    </w:p>
    <w:p>
      <w:pPr>
        <w:spacing w:after="0" w:line="127" w:lineRule="exact"/>
        <w:rPr>
          <w:sz w:val="20"/>
          <w:szCs w:val="20"/>
          <w:color w:val="auto"/>
        </w:rPr>
      </w:pPr>
    </w:p>
    <w:p>
      <w:pPr>
        <w:ind w:right="260"/>
        <w:spacing w:after="0" w:line="262" w:lineRule="auto"/>
        <w:rPr>
          <w:sz w:val="20"/>
          <w:szCs w:val="20"/>
          <w:color w:val="auto"/>
        </w:rPr>
      </w:pPr>
      <w:r>
        <w:rPr>
          <w:rFonts w:ascii="Arial" w:cs="Arial" w:eastAsia="Arial" w:hAnsi="Arial"/>
          <w:sz w:val="12"/>
          <w:szCs w:val="12"/>
          <w:b w:val="1"/>
          <w:bCs w:val="1"/>
          <w:i w:val="1"/>
          <w:iCs w:val="1"/>
          <w:color w:val="auto"/>
        </w:rPr>
        <w:t>A significant disruption in service on our website or our mobile application could damage our reputation and result in a loss of consumers, which could harm our business, brand, operating results, and financial condition.</w:t>
      </w:r>
    </w:p>
    <w:p>
      <w:pPr>
        <w:spacing w:after="0" w:line="127"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 and mobile application, and prevent or inhibit the ability of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our ability to protect our confidential and proprietary information, result in a loss of consumers and dealers, and result in additional costs.</w:t>
      </w:r>
    </w:p>
    <w:p>
      <w:pPr>
        <w:spacing w:after="0" w:line="141"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Substantially all of the communications, network, and computer hardware used to operate our website and mobile application is located in the United States in Boston, Massachusetts and Dallas, Texas, and in Europe in London, United Kingdom. Although we have two locations in the United States and we believe our systems are fully redundant, there may be exceptions for certain hardware. In addition, we do not own or control the operation of these facilities. We also use Amazon Web Services and Google Cloud Storage to back up our data.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41" w:lineRule="exact"/>
        <w:rPr>
          <w:sz w:val="20"/>
          <w:szCs w:val="20"/>
          <w:color w:val="auto"/>
        </w:rPr>
      </w:pPr>
    </w:p>
    <w:p>
      <w:pPr>
        <w:jc w:val="both"/>
        <w:ind w:right="60" w:firstLine="326"/>
        <w:spacing w:after="0" w:line="237" w:lineRule="auto"/>
        <w:rPr>
          <w:sz w:val="20"/>
          <w:szCs w:val="20"/>
          <w:color w:val="auto"/>
        </w:rPr>
      </w:pPr>
      <w:r>
        <w:rPr>
          <w:rFonts w:ascii="Arial" w:cs="Arial" w:eastAsia="Arial" w:hAnsi="Arial"/>
          <w:sz w:val="12"/>
          <w:szCs w:val="12"/>
          <w:color w:val="auto"/>
        </w:rPr>
        <w:t>Problems faced by our third-party web hosting providers could adversely affect the experience of consumers using our marketplace. Our third-party web hosting providers could close their facilities without adequate notice. Any financial difficulties, up to and including bankruptcy, faced by our third-party web hosting providers or any of the service providers with whom they contract may have negative effects on our business, the nature and extent of which are difficult to predict. If our third-party web hosting providers are unable to keep up with our growing capacity needs, our business could be harmed.</w:t>
      </w:r>
    </w:p>
    <w:p>
      <w:pPr>
        <w:spacing w:after="0" w:line="141" w:lineRule="exact"/>
        <w:rPr>
          <w:sz w:val="20"/>
          <w:szCs w:val="20"/>
          <w:color w:val="auto"/>
        </w:rPr>
      </w:pPr>
    </w:p>
    <w:p>
      <w:pPr>
        <w:ind w:right="120" w:firstLine="319"/>
        <w:spacing w:after="0" w:line="239" w:lineRule="auto"/>
        <w:rPr>
          <w:sz w:val="20"/>
          <w:szCs w:val="20"/>
          <w:color w:val="auto"/>
        </w:rPr>
      </w:pPr>
      <w:r>
        <w:rPr>
          <w:rFonts w:ascii="Arial" w:cs="Arial" w:eastAsia="Arial" w:hAnsi="Arial"/>
          <w:sz w:val="12"/>
          <w:szCs w:val="12"/>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39" w:lineRule="exact"/>
        <w:rPr>
          <w:sz w:val="20"/>
          <w:szCs w:val="20"/>
          <w:color w:val="auto"/>
        </w:rPr>
      </w:pPr>
    </w:p>
    <w:p>
      <w:pPr>
        <w:ind w:right="100" w:firstLine="319"/>
        <w:spacing w:after="0" w:line="239" w:lineRule="auto"/>
        <w:rPr>
          <w:sz w:val="20"/>
          <w:szCs w:val="20"/>
          <w:color w:val="auto"/>
        </w:rPr>
      </w:pPr>
      <w:r>
        <w:rPr>
          <w:rFonts w:ascii="Arial" w:cs="Arial" w:eastAsia="Arial" w:hAnsi="Arial"/>
          <w:sz w:val="12"/>
          <w:szCs w:val="12"/>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i w:val="1"/>
          <w:iCs w:val="1"/>
          <w:color w:val="auto"/>
        </w:rPr>
        <w:t>We collect, process, store, share, disclose, and use consumer information and other data, and our actual or perceived failure to protect such information and data or respect users' privacy could damage our reputation and brand and harm our business and operating results.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Use of some functions of our marketplace involves the storage and transmission of consumers' information, some of which may be private, and security breaches could expose us to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color w:val="auto"/>
        </w:rPr>
        <w:t>risk of loss or exposure of this information, which could result in potential liability, litigation, and remediation costs. For example, hackers could steal our users' profile passwords, names, email addresses, phone numbers, and zip codes. We also rely on encryption and authentication technology licensed from third parties to effect secure transmission of such information. Like all information systems and technology, our website, mobile application, and information systems may be subject to computer viruses, break-ins, phishing attacks, attempts to overload our servers with denial-of-service or other attacks, ransomware, and similar incidents or disruptions from unauthorized use of our computer systems, any of which could lead to interruptions, delays, or website shutdowns, or could cause loss of critical data or the unauthorized disclosure, access, acquisition, alteration, or use of personal or other confidential information. If we experience compromises to our security that result in website or mobile application performance or availability problems, the complete shutdown of our website or mobile application, or the loss or unauthorized disclosure, access, acquisition, alteration, or use of confidential information, consumers and advertisers may lose trust and confidence in us, and consumers may decrease the use of our website or stop using our website entirely, and advertisers may decrease or stop advertising on our website. Further, outside parties may attempt to fraudulently induce employees, consumers, or advertisers to disclose sensitive information in order to gain access to our information or our consumers' or advertisers' information. Because the techniques used to obtain unauthorized access, disable or degrade service, or sabotage systems change frequently, often are not recognized until launched against a target, and may originate from less regulated and remote areas around the world, we may be unable to proactively address these techniques or to implement adequate preventative measures.</w:t>
      </w:r>
    </w:p>
    <w:p>
      <w:pPr>
        <w:spacing w:after="0" w:line="144" w:lineRule="exact"/>
        <w:rPr>
          <w:sz w:val="20"/>
          <w:szCs w:val="20"/>
          <w:color w:val="auto"/>
        </w:rPr>
      </w:pPr>
    </w:p>
    <w:p>
      <w:pPr>
        <w:ind w:firstLine="319"/>
        <w:spacing w:after="0" w:line="237" w:lineRule="auto"/>
        <w:rPr>
          <w:sz w:val="20"/>
          <w:szCs w:val="20"/>
          <w:color w:val="auto"/>
        </w:rPr>
      </w:pPr>
      <w:r>
        <w:rPr>
          <w:rFonts w:ascii="Arial" w:cs="Arial" w:eastAsia="Arial" w:hAnsi="Arial"/>
          <w:sz w:val="12"/>
          <w:szCs w:val="12"/>
          <w:color w:val="auto"/>
        </w:rPr>
        <w:t>Any or all of the issues above could negatively impact our ability to attract new consumers and increase engagement by existing consumers, cause existing consumers to curtail or stop use of our marketplace or close their accounts, cause existing advertisers to cancel their contracts, or subject us to governmental or third-party lawsuits, investigations, regulatory fines or other actions or liability, thereby harming our business, results of operations, and financial condition.</w:t>
      </w:r>
    </w:p>
    <w:p>
      <w:pPr>
        <w:spacing w:after="0" w:line="141"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There are numerous federal, state, and local laws in the United States and around the world regarding privacy and the collection, processing, storing, sharing, disclosing, using, cross-border transfer, and protecting of personal information and other data, the scope of which are changing, subject to differing interpretations, and which may be costly to comply with, may result in regulatory fines or penalties, and may be inconsistent between countries and jurisdictions or conflict with other rules.</w:t>
      </w:r>
    </w:p>
    <w:p>
      <w:pPr>
        <w:spacing w:after="0" w:line="141"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or that new regulations could be enacted.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third parties that we work with violate applicable laws or our policies, such violations may also put consumer or dealer information at risk and could in turn harm our reputation, business, and operating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 the future be subject to intellectual property disputes, which are costly to defend and could harm our business and operating results.</w:t>
      </w:r>
    </w:p>
    <w:p>
      <w:pPr>
        <w:spacing w:after="0" w:line="155" w:lineRule="exact"/>
        <w:rPr>
          <w:sz w:val="20"/>
          <w:szCs w:val="20"/>
          <w:color w:val="auto"/>
        </w:rPr>
      </w:pPr>
    </w:p>
    <w:p>
      <w:pPr>
        <w:ind w:right="60" w:firstLine="326"/>
        <w:spacing w:after="0" w:line="256" w:lineRule="auto"/>
        <w:rPr>
          <w:sz w:val="20"/>
          <w:szCs w:val="20"/>
          <w:color w:val="auto"/>
        </w:rPr>
      </w:pPr>
      <w:r>
        <w:rPr>
          <w:rFonts w:ascii="Arial" w:cs="Arial" w:eastAsia="Arial" w:hAnsi="Arial"/>
          <w:sz w:val="11"/>
          <w:szCs w:val="11"/>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the "Questions" section of our website disseminate materials that infringe the intellectual property rights of third parties. We have encountered lawsuits in the past containing allegations of intellectual property infringement. For example, in December 2015, Trader Corporation, or Trader, alleged that we infringed its copyright in 196,740 photos of cars that were uploaded onto our Canadian website. Trader sought statutory and punitive damages of approximately CAD$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99 million along with a permanent injunction prohibiting us from reproducing any other photos in which Trader owns copyright without Trader's consent. On April 6, 2017, the Commercial List of the Ontario Superior Court, or the Commercial List, granted an order declaring that we infringed Trader's copyright in 152,532 photos and awarded Trader statutory damages of CAD$ 305,064 in the aggregate, but dismissed Trader's claim for punitive damages and a permanent injunction. Following release of the decision, the parties agreed that there would be no legal fees or interest payable. In addition, the parties agreed that neither would appeal the decision of the Commercial List.</w:t>
      </w:r>
    </w:p>
    <w:p>
      <w:pPr>
        <w:spacing w:after="0" w:line="139"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39"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In addition, we use open source software in our marketplace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39" w:lineRule="exact"/>
        <w:rPr>
          <w:sz w:val="20"/>
          <w:szCs w:val="20"/>
          <w:color w:val="auto"/>
        </w:rPr>
      </w:pPr>
    </w:p>
    <w:p>
      <w:pPr>
        <w:ind w:right="360" w:firstLine="326"/>
        <w:spacing w:after="0" w:line="239" w:lineRule="auto"/>
        <w:rPr>
          <w:sz w:val="20"/>
          <w:szCs w:val="20"/>
          <w:color w:val="auto"/>
        </w:rPr>
      </w:pPr>
      <w:r>
        <w:rPr>
          <w:rFonts w:ascii="Arial" w:cs="Arial" w:eastAsia="Arial" w:hAnsi="Arial"/>
          <w:sz w:val="12"/>
          <w:szCs w:val="12"/>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adequately protect our intellectual property could harm our business and operating results.</w:t>
      </w:r>
    </w:p>
    <w:p>
      <w:pPr>
        <w:spacing w:after="0" w:line="155"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 features, software, and functionality or obtain and use information that we consider proprietary.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Competitors may adopt service names similar to ours, thereby harming our ability to build brand identity and possibly lead to user confusion. In addition, there could be potential trade name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12"/>
          <w:szCs w:val="12"/>
          <w:color w:val="auto"/>
        </w:rPr>
        <w:t>or trademark infringement claims brought by owners of other registered trademarks, or trademarks that incorporate variations of the term "CarGurus." If we are restricted in any way in registering our CARGURUS mark in the United Kingdom or elsewhere in the European Union, it would impact our ability to establish and grow our business in Europe. For example, O2 Holdings Limited (now O2 Worldwide Limited, which we refer to as O2 Worldwide), based in the United Kingdom, previously opposed our UK application to register the mark CARGURUS based on its prior registered rights for the mark GURU in the United Kingdom. We have reached an agreement with O2 Worldwide that provides that we are permitted to continue to use our CARGURUS mark in the United Kingdom and the European Union for our services in the automotive field in the manner we have to date, and to register such mark in the United Kingdom and the European Union for such services.</w:t>
      </w:r>
    </w:p>
    <w:p>
      <w:pPr>
        <w:spacing w:after="0" w:line="141" w:lineRule="exact"/>
        <w:rPr>
          <w:sz w:val="20"/>
          <w:szCs w:val="20"/>
          <w:color w:val="auto"/>
        </w:rPr>
      </w:pPr>
    </w:p>
    <w:p>
      <w:pPr>
        <w:ind w:right="240" w:firstLine="326"/>
        <w:spacing w:after="0" w:line="281" w:lineRule="auto"/>
        <w:rPr>
          <w:sz w:val="20"/>
          <w:szCs w:val="20"/>
          <w:color w:val="auto"/>
        </w:rPr>
      </w:pPr>
      <w:r>
        <w:rPr>
          <w:rFonts w:ascii="Arial" w:cs="Arial" w:eastAsia="Arial" w:hAnsi="Arial"/>
          <w:sz w:val="11"/>
          <w:szCs w:val="11"/>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w:t>
      </w:r>
    </w:p>
    <w:p>
      <w:pPr>
        <w:spacing w:after="0" w:line="104" w:lineRule="exact"/>
        <w:rPr>
          <w:sz w:val="20"/>
          <w:szCs w:val="20"/>
          <w:color w:val="auto"/>
        </w:rPr>
      </w:pPr>
    </w:p>
    <w:p>
      <w:pPr>
        <w:ind w:right="440"/>
        <w:spacing w:after="0" w:line="262" w:lineRule="auto"/>
        <w:rPr>
          <w:sz w:val="20"/>
          <w:szCs w:val="20"/>
          <w:color w:val="auto"/>
        </w:rPr>
      </w:pPr>
      <w:r>
        <w:rPr>
          <w:rFonts w:ascii="Arial" w:cs="Arial" w:eastAsia="Arial" w:hAnsi="Arial"/>
          <w:sz w:val="12"/>
          <w:szCs w:val="12"/>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7"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Our success will depend, in part, on our ability to grow our business in response to the demands of consumers, dealers, and other constituents within the automotive industry as well as competitive pressures.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41" w:lineRule="exact"/>
        <w:rPr>
          <w:sz w:val="20"/>
          <w:szCs w:val="20"/>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diversion of management time and focus from operating our business to addressing acquisition integration challenges;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coordination of technology, research, and development, and sales and marketing functions;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transition of the acquired company's consumers and data to our marketplace and products;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retention of employees from the acquired company;</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cultural challenges associated with integrating employees from the acquired company into our organization;</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integration of the acquired company's accounting, management information, human resources, and other administrative systems;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need to implement or improve controls, procedures, and policies at a business that prior to the acquisition may have lacked effective controls, procedures, and policies;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potential write-offs of intangibles or other assets acquired in such transactions that may have an adverse effect on our operating results in a given period;</w:t>
      </w:r>
    </w:p>
    <w:p>
      <w:pPr>
        <w:spacing w:after="0" w:line="132" w:lineRule="exact"/>
        <w:rPr>
          <w:rFonts w:ascii="Arial" w:cs="Arial" w:eastAsia="Arial" w:hAnsi="Arial"/>
          <w:sz w:val="12"/>
          <w:szCs w:val="12"/>
          <w:color w:val="auto"/>
        </w:rPr>
      </w:pPr>
    </w:p>
    <w:p>
      <w:pPr>
        <w:ind w:left="720" w:right="80" w:hanging="368"/>
        <w:spacing w:after="0" w:line="239" w:lineRule="auto"/>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130" w:lineRule="exact"/>
        <w:rPr>
          <w:rFonts w:ascii="Arial" w:cs="Arial" w:eastAsia="Arial" w:hAnsi="Arial"/>
          <w:sz w:val="12"/>
          <w:szCs w:val="12"/>
          <w:color w:val="auto"/>
        </w:rPr>
      </w:pPr>
    </w:p>
    <w:p>
      <w:pPr>
        <w:ind w:left="720" w:hanging="368"/>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litigation or other claims in connection with the acquired company, including claims from terminated employees, consumers, former stockholders, or other third parties.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60" w:firstLine="326"/>
        <w:spacing w:after="0" w:line="269" w:lineRule="auto"/>
        <w:rPr>
          <w:sz w:val="20"/>
          <w:szCs w:val="20"/>
          <w:color w:val="auto"/>
        </w:rPr>
      </w:pPr>
      <w:r>
        <w:rPr>
          <w:rFonts w:ascii="Arial" w:cs="Arial" w:eastAsia="Arial" w:hAnsi="Arial"/>
          <w:sz w:val="11"/>
          <w:szCs w:val="11"/>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 or impairment charges associated with acquired intangible assets or goodwill, any of which could harm our financial condition. Also, the anticipated benefits of any acquisitions may not materialize.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Confidentiality agreements with employees and others may not adequately prevent disclosure of trade secrets and other proprietary information.</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In addition, others may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halt the operations of websites that aggregate or misappropriate our data.</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could, technological and legal measures may be insufficient to halt their operations. In some cases, particularly in the case of websites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operating losses in the past and we may generate losses in the future.</w:t>
      </w:r>
    </w:p>
    <w:p>
      <w:pPr>
        <w:spacing w:after="0" w:line="155"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We have incurred net operating losses in the past. Although we did not experience such losses in 2016 and have experienced significant growth in revenue, our revenue growth rate may decline in the future as a result of a variety of factors. Our international expansion may cause our costs to increase in future periods as we continue to expend substantial financial resources to enter into those markets. Our costs may also increase due to our continued new product development and general administrative expenses, such as legal and accounting expenses related to being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public company. If we fail to increase our revenue or manage these additional costs, we may incur losses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155" w:lineRule="exact"/>
        <w:rPr>
          <w:sz w:val="20"/>
          <w:szCs w:val="20"/>
          <w:color w:val="auto"/>
        </w:rPr>
      </w:pPr>
    </w:p>
    <w:p>
      <w:pPr>
        <w:ind w:right="100" w:firstLine="323"/>
        <w:spacing w:after="0" w:line="236" w:lineRule="auto"/>
        <w:rPr>
          <w:sz w:val="20"/>
          <w:szCs w:val="20"/>
          <w:color w:val="auto"/>
        </w:rPr>
      </w:pPr>
      <w:r>
        <w:rPr>
          <w:rFonts w:ascii="Arial" w:cs="Arial" w:eastAsia="Arial" w:hAnsi="Arial"/>
          <w:sz w:val="12"/>
          <w:szCs w:val="12"/>
          <w:color w:val="auto"/>
        </w:rPr>
        <w:t>Throughout the process of becoming a public company, and then operating as a public company, we expect to incur significant legal, accounting, and other expenses that we did not incur as a private company and these expenses will increase after we cease to be an "emerging growth company." In addition, the Sarbanes-Oxley Act and rules subsequently implemented by the Securities and Exchange Commission, or the SEC, and NASDAQ impose various requirements on public companies, including requiring changes 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For example, these rules and regulations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addition, the Sarbanes-Oxley Act requires, among other things, that we assess the effectiveness of our internal control over financial reporting annually and the effectiveness of our disclosure controls and</w:t>
      </w:r>
    </w:p>
    <w:p>
      <w:pPr>
        <w:spacing w:after="0"/>
        <w:rPr>
          <w:sz w:val="20"/>
          <w:szCs w:val="20"/>
          <w:color w:val="auto"/>
        </w:rPr>
      </w:pPr>
      <w:r>
        <w:rPr>
          <w:rFonts w:ascii="Arial" w:cs="Arial" w:eastAsia="Arial" w:hAnsi="Arial"/>
          <w:sz w:val="11"/>
          <w:szCs w:val="11"/>
          <w:color w:val="auto"/>
        </w:rPr>
        <w:t>procedures quarterly. In particular, beginning with the year ending December 31, 2018, we will need to perform system and process evaluation and testing of our internal control over financial reporting to allow management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 report on, and our independent registered public accounting firm potentially to attest to, the effectiveness of our internal control over financial reporting, as required by Section 404 of the Sarbanes-Oxley Act, or</w:t>
      </w:r>
    </w:p>
    <w:p>
      <w:pPr>
        <w:spacing w:after="0"/>
        <w:rPr>
          <w:sz w:val="20"/>
          <w:szCs w:val="20"/>
          <w:color w:val="auto"/>
        </w:rPr>
      </w:pPr>
      <w:r>
        <w:rPr>
          <w:rFonts w:ascii="Arial" w:cs="Arial" w:eastAsia="Arial" w:hAnsi="Arial"/>
          <w:sz w:val="11"/>
          <w:szCs w:val="11"/>
          <w:color w:val="auto"/>
        </w:rPr>
        <w:t>Section 404. As an "emerging growth company" we may elect to avail ourselves of the exemption from the requirement that our independent registered public accounting firm attest to the effectiveness of our internal control</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over financial reporting under Section 404. However, we may no longer avail ourselves of this exemption when we cease to be an "emerging growth company" and, when our independent registered public accounting firm is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required to undertake an assessment of our internal control over financial reporting, the cost of our compliance with Section 404 will correspondingly increase. Our compliance with applicable provisions of Section 404 will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require that we incur substantial accounting expense and expend significant management time on compliance-related issues as we implement additional corporate governance practices and comply with reporting</w:t>
      </w:r>
    </w:p>
    <w:p>
      <w:pPr>
        <w:spacing w:after="0"/>
        <w:rPr>
          <w:sz w:val="20"/>
          <w:szCs w:val="20"/>
          <w:color w:val="auto"/>
        </w:rPr>
      </w:pPr>
      <w:r>
        <w:rPr>
          <w:rFonts w:ascii="Arial" w:cs="Arial" w:eastAsia="Arial" w:hAnsi="Arial"/>
          <w:sz w:val="12"/>
          <w:szCs w:val="12"/>
          <w:color w:val="auto"/>
        </w:rPr>
        <w:t>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of our internal control over financial reporting could have a material adverse effect on our stated operating results and harm our reputation.</w:t>
      </w:r>
    </w:p>
    <w:p>
      <w:pPr>
        <w:spacing w:after="0" w:line="155" w:lineRule="exact"/>
        <w:rPr>
          <w:sz w:val="20"/>
          <w:szCs w:val="20"/>
          <w:color w:val="auto"/>
        </w:rPr>
      </w:pPr>
    </w:p>
    <w:p>
      <w:pPr>
        <w:ind w:right="180" w:firstLine="326"/>
        <w:spacing w:after="0" w:line="237" w:lineRule="auto"/>
        <w:rPr>
          <w:sz w:val="20"/>
          <w:szCs w:val="20"/>
          <w:color w:val="auto"/>
        </w:rPr>
      </w:pPr>
      <w:r>
        <w:rPr>
          <w:rFonts w:ascii="Arial" w:cs="Arial" w:eastAsia="Arial" w:hAnsi="Arial"/>
          <w:sz w:val="12"/>
          <w:szCs w:val="12"/>
          <w:color w:val="auto"/>
        </w:rPr>
        <w:t>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 Furthermore, investor perceptions of our company may suffer if, in the future, material weaknesses are found, and this could cause a decline in the market price of our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Irrespective of compliance with Section 404, any failure of our internal control over financial reporting could have a material adverse effect on our stated operating results and harm our reputation. If we are unable to implement these changes effectively or efficiently, it could harm our operations, financial reporting, or financial results and could result in an adverse opinion on internal control from our independent 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 may cause fluctuations in our operating results.</w:t>
      </w:r>
    </w:p>
    <w:p>
      <w:pPr>
        <w:spacing w:after="0" w:line="155" w:lineRule="exact"/>
        <w:rPr>
          <w:sz w:val="20"/>
          <w:szCs w:val="20"/>
          <w:color w:val="auto"/>
        </w:rPr>
      </w:pPr>
    </w:p>
    <w:p>
      <w:pPr>
        <w:jc w:val="both"/>
        <w:ind w:right="100" w:firstLine="319"/>
        <w:spacing w:after="0" w:line="237" w:lineRule="auto"/>
        <w:rPr>
          <w:sz w:val="20"/>
          <w:szCs w:val="20"/>
          <w:color w:val="auto"/>
        </w:rPr>
      </w:pPr>
      <w:r>
        <w:rPr>
          <w:rFonts w:ascii="Arial" w:cs="Arial" w:eastAsia="Arial" w:hAnsi="Arial"/>
          <w:sz w:val="12"/>
          <w:szCs w:val="12"/>
          <w:color w:val="auto"/>
        </w:rPr>
        <w:t>Across the retail automotive industry, consumer purchases typically increase through the first three quarters of each year, due in part to the introduction of new vehicle models from manufacturers, and our consumer marketing spend grows accordingly. As consumer purchases slow in the fourth quarter, our marketing spend growth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our results of operations to fluctuate on a quarterly and annual basis.</w:t>
      </w:r>
    </w:p>
    <w:p>
      <w:pPr>
        <w:spacing w:after="0" w:line="155"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127" w:lineRule="exact"/>
        <w:rPr>
          <w:sz w:val="20"/>
          <w:szCs w:val="20"/>
          <w:color w:val="auto"/>
        </w:rPr>
      </w:pPr>
    </w:p>
    <w:p>
      <w:pPr>
        <w:ind w:firstLine="319"/>
        <w:spacing w:after="0" w:line="236" w:lineRule="auto"/>
        <w:rPr>
          <w:sz w:val="20"/>
          <w:szCs w:val="20"/>
          <w:color w:val="auto"/>
        </w:rPr>
      </w:pPr>
      <w:r>
        <w:rPr>
          <w:rFonts w:ascii="Arial" w:cs="Arial" w:eastAsia="Arial" w:hAnsi="Arial"/>
          <w:sz w:val="12"/>
          <w:szCs w:val="12"/>
          <w:color w:val="auto"/>
        </w:rPr>
        <w:t>Although we have not needed to raise substantial equity in the past to support the growth of our business, 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or further improve our marketplace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41"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this Offering and Our Class A Common Stock</w:t>
      </w:r>
    </w:p>
    <w:p>
      <w:pPr>
        <w:spacing w:after="0" w:line="141"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b w:val="1"/>
          <w:bCs w:val="1"/>
          <w:i w:val="1"/>
          <w:iCs w:val="1"/>
          <w:color w:val="auto"/>
        </w:rPr>
        <w:t>Following this offering, our founder will control a majority of the voting power of our outstanding capital stock, and, therefore, will have control over key decision-making and could control our actions in a manner that conflicts with the interests of other stockholders.</w:t>
      </w:r>
    </w:p>
    <w:p>
      <w:pPr>
        <w:spacing w:after="0" w:line="127" w:lineRule="exact"/>
        <w:rPr>
          <w:sz w:val="20"/>
          <w:szCs w:val="20"/>
          <w:color w:val="auto"/>
        </w:rPr>
      </w:pPr>
    </w:p>
    <w:p>
      <w:pPr>
        <w:ind w:firstLine="326"/>
        <w:spacing w:after="0" w:line="235" w:lineRule="auto"/>
        <w:rPr>
          <w:sz w:val="20"/>
          <w:szCs w:val="20"/>
          <w:color w:val="auto"/>
        </w:rPr>
      </w:pPr>
      <w:r>
        <w:rPr>
          <w:rFonts w:ascii="Arial" w:cs="Arial" w:eastAsia="Arial" w:hAnsi="Arial"/>
          <w:sz w:val="12"/>
          <w:szCs w:val="12"/>
          <w:color w:val="auto"/>
        </w:rPr>
        <w:t>Langley Steinert, our founder, Chief Executive Officer, President,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President,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Langley Steinert's status as an officer and director is terminated, his fiduciary duties to our stockholders will also terminate, but his voting power as a stockholder will not be reduced as a result of such termination unless such termination is either made voluntarily by Mr. Steinert or due to Mr. Steinert's death. As a stockholder, even a controlling stockholder, Mr. Steinert is entitled to vote his shares in his own interests, which may not always be aligned with the interests of our other stockholders. See the section titled "Description of Capital Stock — Conversion" for a description of the limited events that will result in the conversion of outstanding Class B common stock into Class A common stock.</w:t>
      </w:r>
    </w:p>
    <w:p>
      <w:pPr>
        <w:spacing w:after="0" w:line="144"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127" w:lineRule="exact"/>
        <w:rPr>
          <w:sz w:val="20"/>
          <w:szCs w:val="20"/>
          <w:color w:val="auto"/>
        </w:rPr>
      </w:pPr>
    </w:p>
    <w:p>
      <w:pPr>
        <w:ind w:right="240"/>
        <w:spacing w:after="0" w:line="262" w:lineRule="auto"/>
        <w:rPr>
          <w:sz w:val="20"/>
          <w:szCs w:val="20"/>
          <w:color w:val="auto"/>
        </w:rPr>
      </w:pPr>
      <w:r>
        <w:rPr>
          <w:rFonts w:ascii="Arial" w:cs="Arial" w:eastAsia="Arial" w:hAnsi="Arial"/>
          <w:sz w:val="12"/>
          <w:szCs w:val="12"/>
          <w:b w:val="1"/>
          <w:bCs w:val="1"/>
          <w:i w:val="1"/>
          <w:iCs w:val="1"/>
          <w:color w:val="auto"/>
        </w:rPr>
        <w:t>The multiple class structure of our common stock has the effect of concentrating voting control with our founder and certain other holders of our Class B common stock, which will limit or preclude your ability to influence corporate matters.</w:t>
      </w:r>
    </w:p>
    <w:p>
      <w:pPr>
        <w:spacing w:after="0" w:line="127"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0" w:firstLine="323"/>
        <w:spacing w:after="0" w:line="237" w:lineRule="auto"/>
        <w:rPr>
          <w:sz w:val="20"/>
          <w:szCs w:val="20"/>
          <w:color w:val="auto"/>
        </w:rPr>
      </w:pPr>
      <w:r>
        <w:rPr>
          <w:rFonts w:ascii="Arial" w:cs="Arial" w:eastAsia="Arial" w:hAnsi="Arial"/>
          <w:sz w:val="12"/>
          <w:szCs w:val="12"/>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active trading market for our Class A common stock may not develop, and you may not be able to resell your shares at or above the initial public offering price.</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Prior to this offering, there has been no public market for shares of our Class A common stock. Although our Class A common stock has been approved for listing on the NASDAQ Global Select Market, an active trading market for our shares may never develop or be sustained following this offering. The initial public offering price of our Class A common stock was determined through negotiations between us and the underwriters. This initial public offering price may not be indicative of the market price of our Class A common stock after this offering. In the absence of an active trading market for our Class A common stock, investors may not be able to sell their Class A common stock at or above the initial public offering price or at the time that they would like to sell.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Class A common stock may be volatile and the value of your investment could decline.</w:t>
      </w:r>
    </w:p>
    <w:p>
      <w:pPr>
        <w:spacing w:after="0" w:line="155"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trading price of our Class A common stock may be volatile and fluctuate substantially. The trading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141" w:lineRule="exact"/>
        <w:rPr>
          <w:sz w:val="20"/>
          <w:szCs w:val="20"/>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our industry in particular;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sales of shares of our Class A common stock by us or our stockholders;</w:t>
      </w:r>
    </w:p>
    <w:p>
      <w:pPr>
        <w:spacing w:after="0" w:line="132" w:lineRule="exact"/>
        <w:rPr>
          <w:rFonts w:ascii="Arial" w:cs="Arial" w:eastAsia="Arial" w:hAnsi="Arial"/>
          <w:sz w:val="12"/>
          <w:szCs w:val="12"/>
          <w:color w:val="auto"/>
        </w:rPr>
      </w:pPr>
    </w:p>
    <w:p>
      <w:pPr>
        <w:ind w:left="720" w:right="480" w:hanging="368"/>
        <w:spacing w:after="0" w:line="239" w:lineRule="auto"/>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failure of securities analysts to maintain coverage of us, changes in financial estimates by any securities analysts who follow our company, or our failure to meet these estimates or the expectations of investors;</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announcements by us or our competitors of new products;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public's reaction to our press releases, other public announcements, and filings with the SEC;</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rumors and market speculation involving us or other companies in our industry;</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actual or anticipated changes in our operating results or fluctuations in our operating results;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our competitors' businesses, or the competitive landscape generally;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litigation involving us, our industry or both, or investigations by regulators into our operations or those of our competitors;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announced or completed acquisitions of businesses or technologies by us or our competitors;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new laws or regulations or new interpretations of existing laws or regulations applicable to our business;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accounting standards, policies, guidelines, interpretations, or principles;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any significant change in our management;</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conditions in the automobile industry;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141" w:lineRule="exact"/>
        <w:rPr>
          <w:sz w:val="20"/>
          <w:szCs w:val="20"/>
          <w:color w:val="auto"/>
        </w:rPr>
      </w:pPr>
    </w:p>
    <w:p>
      <w:pPr>
        <w:ind w:right="20" w:firstLine="323"/>
        <w:spacing w:after="0" w:line="236" w:lineRule="auto"/>
        <w:rPr>
          <w:sz w:val="20"/>
          <w:szCs w:val="20"/>
          <w:color w:val="auto"/>
        </w:rPr>
      </w:pPr>
      <w:r>
        <w:rPr>
          <w:rFonts w:ascii="Arial" w:cs="Arial" w:eastAsia="Arial" w:hAnsi="Arial"/>
          <w:sz w:val="12"/>
          <w:szCs w:val="12"/>
          <w:color w:val="auto"/>
        </w:rPr>
        <w:t>The effect of such factors on the trading market for our Class A common stock may be enhanced by the lack of a large and established trading market for our Class A common stock. 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127"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b w:val="1"/>
          <w:bCs w:val="1"/>
          <w:i w:val="1"/>
          <w:iCs w:val="1"/>
          <w:color w:val="auto"/>
        </w:rPr>
        <w:t>Allen &amp; Company LLC, one of the underwriters in this offering, has an interest in this offering beyond customary underwriting discounts and commissions due to its ownership interests, and the ownership interests of its associated persons, in our capital stock.</w:t>
      </w:r>
    </w:p>
    <w:p>
      <w:pPr>
        <w:spacing w:after="0" w:line="127" w:lineRule="exact"/>
        <w:rPr>
          <w:sz w:val="20"/>
          <w:szCs w:val="20"/>
          <w:color w:val="auto"/>
        </w:rPr>
      </w:pPr>
    </w:p>
    <w:p>
      <w:pPr>
        <w:ind w:right="200" w:firstLine="319"/>
        <w:spacing w:after="0" w:line="239" w:lineRule="auto"/>
        <w:rPr>
          <w:sz w:val="20"/>
          <w:szCs w:val="20"/>
          <w:color w:val="auto"/>
        </w:rPr>
      </w:pPr>
      <w:r>
        <w:rPr>
          <w:rFonts w:ascii="Arial" w:cs="Arial" w:eastAsia="Arial" w:hAnsi="Arial"/>
          <w:sz w:val="12"/>
          <w:szCs w:val="12"/>
          <w:color w:val="auto"/>
        </w:rPr>
        <w:t>Allen &amp; Company LLC, one of the underwriters in this offering, and its associated persons, own, in the aggregate, in excess of 10% of our outstanding preferred stock. Allen &amp; Company LLC therefore is deemed to have a "conflict of interest" under Rule 5121 of the Financial Industry Regulatory Authority, Inc., or FINRA, which could expose us to certain risks in connection with this offering.</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Rule 5121 requires that no sale be made to discretionary accounts by underwriters having a conflict of interest without the prior written approval of the account holder, and that a "qualified independent underwriter," as defined in Rule 5121, participate in the preparation of the registration statement and the prospectus for the offering and exercise the usual standard of due diligence with respect thereto, in addition to pricing this offering. Goldman Sachs &amp; Co. LLC is serving as the qualified independent underwriter in this offering.</w:t>
      </w:r>
    </w:p>
    <w:p>
      <w:pPr>
        <w:spacing w:after="0" w:line="141" w:lineRule="exact"/>
        <w:rPr>
          <w:sz w:val="20"/>
          <w:szCs w:val="20"/>
          <w:color w:val="auto"/>
        </w:rPr>
      </w:pPr>
    </w:p>
    <w:p>
      <w:pPr>
        <w:ind w:right="160" w:firstLine="319"/>
        <w:spacing w:after="0" w:line="237" w:lineRule="auto"/>
        <w:rPr>
          <w:sz w:val="20"/>
          <w:szCs w:val="20"/>
          <w:color w:val="auto"/>
        </w:rPr>
      </w:pPr>
      <w:r>
        <w:rPr>
          <w:rFonts w:ascii="Arial" w:cs="Arial" w:eastAsia="Arial" w:hAnsi="Arial"/>
          <w:sz w:val="12"/>
          <w:szCs w:val="12"/>
          <w:color w:val="auto"/>
        </w:rPr>
        <w:t>Although Goldman Sachs &amp; Co. LLC has, in its capacity as qualified independent underwriter, participated in due diligence and reviewed and participated in the preparation of the registration statement of which this prospectus forms a part, and, although Allen &amp; Company LLC will not confirm sales of the shares to any account over which it exercises discretionary authority without the prior written approval of the account holder, we cannot assure you that these measures will adequately address any potential conflicts of interest. See "Underwriting (Conflicts of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i w:val="1"/>
          <w:iCs w:val="1"/>
          <w:color w:val="auto"/>
        </w:rPr>
        <w:t>Because the initial public offering price of our Class A common stock will be substantially higher than the pro forma net tangible book value per share of our outstanding Class A and Class B common stock following this offering, new investors will experience immediate and substantial dilution.</w:t>
      </w:r>
    </w:p>
    <w:p>
      <w:pPr>
        <w:spacing w:after="0" w:line="127" w:lineRule="exact"/>
        <w:rPr>
          <w:sz w:val="20"/>
          <w:szCs w:val="20"/>
          <w:color w:val="auto"/>
        </w:rPr>
      </w:pPr>
    </w:p>
    <w:p>
      <w:pPr>
        <w:ind w:right="40" w:firstLine="323"/>
        <w:spacing w:after="0" w:line="260" w:lineRule="auto"/>
        <w:rPr>
          <w:sz w:val="20"/>
          <w:szCs w:val="20"/>
          <w:color w:val="auto"/>
        </w:rPr>
      </w:pPr>
      <w:r>
        <w:rPr>
          <w:rFonts w:ascii="Arial" w:cs="Arial" w:eastAsia="Arial" w:hAnsi="Arial"/>
          <w:sz w:val="11"/>
          <w:szCs w:val="11"/>
          <w:color w:val="auto"/>
        </w:rPr>
        <w:t>The initial public offering price of our Class A common stock is substantially higher than the pro forma net tangible book value per share of our Class A and Class B common stock immediately following this offering based on the total value of our tangible assets less our total liabilities. Therefore, if you purchase shares of our Class A common stock in this offering, you will experience immediate dilution of $14.99 per share, the difference between the price per share you pay for our Class A common stock and its pro forma net tangible book value per share as of June 30, 2017, after giving effect to the issuance of shares of our Class A common stock in this offering. See "Dilution" for more information. Furthermore, investors purchasing shares of our Class A common stock in this offering will only own approximately 8.9% of our outstanding shares of Class A and Class B common stock (and have approximately 2.6% of the combined voting power of the outstanding shares of our Class A and Class B common stock), after giving effect to the issuance of shares of our Class A common stock in this offering and sale of 6,900,000 shares of our Class A common stock by certain selling stockholders. To the extent outstanding options to purchase our Class A common stock or Class B common stock are exercised or additional restricted stock units for our Class A common stock or Class B common stock are settled, investors purchasing our Class A common stock in this offering will experience further dilution.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of substantial amounts of our Class A common stock in the public markets, or the perception that such sales might occur, could depress the market price of our Class A common stock.</w:t>
      </w:r>
    </w:p>
    <w:p>
      <w:pPr>
        <w:spacing w:after="0" w:line="155" w:lineRule="exact"/>
        <w:rPr>
          <w:sz w:val="20"/>
          <w:szCs w:val="20"/>
          <w:color w:val="auto"/>
        </w:rPr>
      </w:pPr>
    </w:p>
    <w:p>
      <w:pPr>
        <w:ind w:firstLine="323"/>
        <w:spacing w:after="0" w:line="235" w:lineRule="auto"/>
        <w:rPr>
          <w:sz w:val="20"/>
          <w:szCs w:val="20"/>
          <w:color w:val="auto"/>
        </w:rPr>
      </w:pPr>
      <w:r>
        <w:rPr>
          <w:rFonts w:ascii="Arial" w:cs="Arial" w:eastAsia="Arial" w:hAnsi="Arial"/>
          <w:sz w:val="12"/>
          <w:szCs w:val="12"/>
          <w:color w:val="auto"/>
        </w:rPr>
        <w:t>The market price for our Class A common stock could decline as a result of the sale of substantial amounts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 Based on shares outstanding at June 30, 2017, upon the closing of this offering we will have outstanding approximately 77,145,294 shares of Class A common stock, including the 9,400,000 shares of Class A common stock that we and the selling stockholders are selling in this offering that may be resold in the public market immediately. The remaining 67,745,294 shares of Class A common stock, or 87.8% of our outstanding shares of Class A common stock after this offering, are currently, and will be following the closing of this offering, restricted as a result of securities laws or lock-up agreements but will be able to be sold, subject to any applicable volume limitations, under federal securities laws with respect to affiliate sales.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directly or indirectly, any shares of common stock without the permission of Goldman Sachs &amp; Co. LLC for a period of 180 days following the date of this prospectus. We refer to such period as the lock-up period. When the lock-up period expires, we and our security holders subject to a lock-up agreement or market stand-off agreement will be able to sell our shares in the public market. In addition, Goldman Sachs &amp; Co. LLC may, in its sole discretion, release all or some portion of the shares subject to lock-up agreements at any time and for any reason. See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Class A common stock at a time and price that you deem appropriate.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One hundred eighty days after the effective date of the registration statement of which this prospectus forms a part, the holders of 54,998,789 shares of our common stock will have rights, subject to some conditions, to require us to file registration statements covering their shares of Class A common stock or to include their shares in registration statements that we may file for ourselves or our stockholders.</w:t>
      </w:r>
    </w:p>
    <w:p>
      <w:pPr>
        <w:spacing w:after="0" w:line="139"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In addition, the shares of Class A common stock subject to outstanding options and restricted stock units for Class A common stock under our equity incentive plans and the shares reserved for future issuance under our equity incentive plans will become eligible for sale in the public market in the future, subject to certain legal and contractual limitations. See "Shares Eligible for Future Sale" for a more detailed description of sales that may occur in the future.</w:t>
      </w:r>
    </w:p>
    <w:p>
      <w:pPr>
        <w:spacing w:after="0" w:line="141" w:lineRule="exact"/>
        <w:rPr>
          <w:sz w:val="20"/>
          <w:szCs w:val="20"/>
          <w:color w:val="auto"/>
        </w:rPr>
      </w:pPr>
    </w:p>
    <w:p>
      <w:pPr>
        <w:ind w:right="140" w:firstLine="326"/>
        <w:spacing w:after="0" w:line="239" w:lineRule="auto"/>
        <w:rPr>
          <w:sz w:val="20"/>
          <w:szCs w:val="20"/>
          <w:color w:val="auto"/>
        </w:rPr>
      </w:pPr>
      <w:r>
        <w:rPr>
          <w:rFonts w:ascii="Arial" w:cs="Arial" w:eastAsia="Arial" w:hAnsi="Arial"/>
          <w:sz w:val="12"/>
          <w:szCs w:val="12"/>
          <w:color w:val="auto"/>
        </w:rPr>
        <w:t>If a substantial number of shares are sold, or if it is perceived that they will be sold, in the public market, before or after the expiration of the contractual lock-up period, the trading price of our Class A common stock could decline substantially.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contained in our certificate of incorporation and bylaws, as well as provisions of Delaware law, could impair a takeover attempt.</w:t>
      </w:r>
    </w:p>
    <w:p>
      <w:pPr>
        <w:spacing w:after="0" w:line="155" w:lineRule="exact"/>
        <w:rPr>
          <w:sz w:val="20"/>
          <w:szCs w:val="20"/>
          <w:color w:val="auto"/>
        </w:rPr>
      </w:pPr>
    </w:p>
    <w:p>
      <w:pPr>
        <w:ind w:right="380" w:firstLine="323"/>
        <w:spacing w:after="0" w:line="281" w:lineRule="auto"/>
        <w:rPr>
          <w:sz w:val="20"/>
          <w:szCs w:val="20"/>
          <w:color w:val="auto"/>
        </w:rPr>
      </w:pPr>
      <w:r>
        <w:rPr>
          <w:rFonts w:ascii="Arial" w:cs="Arial" w:eastAsia="Arial" w:hAnsi="Arial"/>
          <w:sz w:val="11"/>
          <w:szCs w:val="11"/>
          <w:color w:val="auto"/>
        </w:rPr>
        <w:t>The provisions of our amended and restated certificate of incorporation and amended and restated bylaws to be effective on the closing of this offering, and provisions of Delaware law, may have the effect of rendering more difficult, delaying, or preventing an acquisition deemed undesirable by our board of directors. Our corporate governance documents to be effective on the closing of this offering will include provisions:</w:t>
      </w:r>
    </w:p>
    <w:p>
      <w:pPr>
        <w:spacing w:after="0" w:line="118" w:lineRule="exact"/>
        <w:rPr>
          <w:sz w:val="20"/>
          <w:szCs w:val="20"/>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creating a classified board of directors whose members serve staggered three year terms;</w:t>
      </w:r>
    </w:p>
    <w:p>
      <w:pPr>
        <w:spacing w:after="0" w:line="141" w:lineRule="exact"/>
        <w:rPr>
          <w:rFonts w:ascii="Arial" w:cs="Arial" w:eastAsia="Arial" w:hAnsi="Arial"/>
          <w:sz w:val="12"/>
          <w:szCs w:val="12"/>
          <w:color w:val="auto"/>
        </w:rPr>
      </w:pPr>
    </w:p>
    <w:p>
      <w:pPr>
        <w:jc w:val="both"/>
        <w:ind w:left="720" w:hanging="368"/>
        <w:spacing w:after="0" w:line="269" w:lineRule="auto"/>
        <w:tabs>
          <w:tab w:leader="none" w:pos="7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our founder, Chief Executive Officer, President, and Chairman, Langley Steinert, represent less than a majority of the aggregate votes applicable to all shares of the outstanding Class A common stock and Class B common stock, could be issued by our board of directors without stockholder approval;</w:t>
      </w:r>
    </w:p>
    <w:p>
      <w:pPr>
        <w:spacing w:after="0" w:line="115" w:lineRule="exact"/>
        <w:rPr>
          <w:rFonts w:ascii="Arial" w:cs="Arial" w:eastAsia="Arial" w:hAnsi="Arial"/>
          <w:sz w:val="11"/>
          <w:szCs w:val="11"/>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limiting the liability of, and providing indemnification to, our directors and officers;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limiting the ability of our stockholders to call and bring business before special meetings;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limiting the ability, from and after the threshold date, of stockholders to amend our amended and restated certificate of incorporation;</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limiting the ability, from and after the threshold date, of stockholders to fill vacant directorships and remove directors;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prohibiting cumulative voting by stockholders.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These provisions, alone or together, could delay or prevent hostile takeovers and changes in control or changes in our management.</w:t>
      </w:r>
    </w:p>
    <w:p>
      <w:pPr>
        <w:spacing w:after="0" w:line="141" w:lineRule="exact"/>
        <w:rPr>
          <w:sz w:val="20"/>
          <w:szCs w:val="20"/>
          <w:color w:val="auto"/>
        </w:rPr>
      </w:pPr>
    </w:p>
    <w:p>
      <w:pPr>
        <w:ind w:right="400" w:firstLine="319"/>
        <w:spacing w:after="0" w:line="239" w:lineRule="auto"/>
        <w:rPr>
          <w:sz w:val="20"/>
          <w:szCs w:val="20"/>
          <w:color w:val="auto"/>
        </w:rPr>
      </w:pPr>
      <w:r>
        <w:rPr>
          <w:rFonts w:ascii="Arial" w:cs="Arial" w:eastAsia="Arial" w:hAnsi="Arial"/>
          <w:sz w:val="12"/>
          <w:szCs w:val="12"/>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60" w:firstLine="319"/>
        <w:spacing w:after="0" w:line="239" w:lineRule="auto"/>
        <w:rPr>
          <w:sz w:val="20"/>
          <w:szCs w:val="20"/>
          <w:color w:val="auto"/>
        </w:rPr>
      </w:pPr>
      <w:r>
        <w:rPr>
          <w:rFonts w:ascii="Arial" w:cs="Arial" w:eastAsia="Arial" w:hAnsi="Arial"/>
          <w:sz w:val="12"/>
          <w:szCs w:val="12"/>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b w:val="1"/>
          <w:bCs w:val="1"/>
          <w:i w:val="1"/>
          <w:iCs w:val="1"/>
          <w:color w:val="auto"/>
        </w:rPr>
        <w:t>Our amended and restated certificate of incorporation that will become effective upon the closing of this offering will include a forum selection clause, which could limit our stockholders' ability to obtain a favorable judicial forum for disputes with us.</w:t>
      </w:r>
    </w:p>
    <w:p>
      <w:pPr>
        <w:spacing w:after="0" w:line="127"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Our amended and restated certificate of incorporation that will become effective upon the closing of this offering will provide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certificate of incorporation, a court could rule that such a provision is inapplicable or unenforceable.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or spend the proceeds of this offering in ways with which you may not agree or in ways which may not yield a return.</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net proceeds from the sale of our shares of Class A common stock by us in this offering may be used for general corporate purposes, including working capital. We may also use a portion of the net proceeds to acquire complementary businesses, products, services, or technologies. However, we do not have any agreements or commitments for any acquisitions at this time. Our management will have considerable discretion in the application of the net proceeds, and you will not have the opportunity, as part of your investment decision, to assess whether the proceeds are being used appropriately. The net proceeds may be invested with a view towards long-term benefits for our stockholders and this may not increase our operating results or market value. Until the net proceeds are used, they may be placed in investments that do not produce significant income or that may lose value.</w:t>
      </w:r>
    </w:p>
    <w:p>
      <w:pPr>
        <w:spacing w:after="0" w:line="127"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27" w:lineRule="exact"/>
        <w:rPr>
          <w:sz w:val="20"/>
          <w:szCs w:val="20"/>
          <w:color w:val="auto"/>
        </w:rPr>
      </w:pPr>
    </w:p>
    <w:p>
      <w:pPr>
        <w:jc w:val="both"/>
        <w:ind w:firstLine="323"/>
        <w:spacing w:after="0" w:line="237" w:lineRule="auto"/>
        <w:rPr>
          <w:sz w:val="20"/>
          <w:szCs w:val="20"/>
          <w:color w:val="auto"/>
        </w:rPr>
      </w:pPr>
      <w:r>
        <w:rPr>
          <w:rFonts w:ascii="Arial" w:cs="Arial" w:eastAsia="Arial" w:hAnsi="Arial"/>
          <w:sz w:val="12"/>
          <w:szCs w:val="12"/>
          <w:color w:val="auto"/>
        </w:rPr>
        <w:t>The trading market for our Class A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company or fail to regularly publish reports on us, we could lose visibility in the financial markets, which in turn could cause our stock price or trading volume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cash dividends for the foreseeable future.</w:t>
      </w:r>
    </w:p>
    <w:p>
      <w:pPr>
        <w:spacing w:after="0" w:line="155" w:lineRule="exact"/>
        <w:rPr>
          <w:sz w:val="20"/>
          <w:szCs w:val="20"/>
          <w:color w:val="auto"/>
        </w:rPr>
      </w:pPr>
    </w:p>
    <w:p>
      <w:pPr>
        <w:ind w:right="80" w:firstLine="326"/>
        <w:spacing w:after="0" w:line="239" w:lineRule="auto"/>
        <w:rPr>
          <w:sz w:val="20"/>
          <w:szCs w:val="20"/>
          <w:color w:val="auto"/>
        </w:rPr>
      </w:pPr>
      <w:r>
        <w:rPr>
          <w:rFonts w:ascii="Arial" w:cs="Arial" w:eastAsia="Arial" w:hAnsi="Arial"/>
          <w:sz w:val="12"/>
          <w:szCs w:val="12"/>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you may only receive a return on your investment in our Class A common stock if the trading price of your shares increases.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status as a "controlled company" could make our Class A common stock less attractive to some investors or otherwise harm our stock price.</w:t>
      </w:r>
    </w:p>
    <w:p>
      <w:pPr>
        <w:spacing w:after="0" w:line="155"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Upon the closing of this offering, more than 50% of our voting power will be held by Langley Steinert. As a result, we will be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141" w:lineRule="exact"/>
        <w:rPr>
          <w:sz w:val="20"/>
          <w:szCs w:val="20"/>
          <w:color w:val="auto"/>
        </w:rPr>
      </w:pPr>
    </w:p>
    <w:p>
      <w:pPr>
        <w:ind w:left="720" w:hanging="368"/>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a majority of our board of directors consist of "independent directors" as defined under the rules of NASDAQ;</w:t>
      </w:r>
    </w:p>
    <w:p>
      <w:pPr>
        <w:spacing w:after="0" w:line="141" w:lineRule="exact"/>
        <w:rPr>
          <w:rFonts w:ascii="Arial" w:cs="Arial" w:eastAsia="Arial" w:hAnsi="Arial"/>
          <w:sz w:val="12"/>
          <w:szCs w:val="12"/>
          <w:color w:val="auto"/>
        </w:rPr>
      </w:pPr>
    </w:p>
    <w:p>
      <w:pPr>
        <w:ind w:left="720" w:right="260" w:hanging="368"/>
        <w:spacing w:after="0" w:line="239" w:lineRule="auto"/>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130" w:lineRule="exact"/>
        <w:rPr>
          <w:rFonts w:ascii="Arial" w:cs="Arial" w:eastAsia="Arial" w:hAnsi="Arial"/>
          <w:sz w:val="12"/>
          <w:szCs w:val="12"/>
          <w:color w:val="auto"/>
        </w:rPr>
      </w:pPr>
    </w:p>
    <w:p>
      <w:pPr>
        <w:ind w:left="720" w:right="40" w:hanging="368"/>
        <w:spacing w:after="0" w:line="239" w:lineRule="auto"/>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130" w:lineRule="exact"/>
        <w:rPr>
          <w:rFonts w:ascii="Arial" w:cs="Arial" w:eastAsia="Arial" w:hAnsi="Arial"/>
          <w:sz w:val="12"/>
          <w:szCs w:val="12"/>
          <w:color w:val="auto"/>
        </w:rPr>
      </w:pPr>
    </w:p>
    <w:p>
      <w:pPr>
        <w:ind w:left="720" w:right="60" w:hanging="368"/>
        <w:spacing w:after="0" w:line="239" w:lineRule="auto"/>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Following the closing of this offering, we may rely on certain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55"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exemptions from some disclosure requirements that are applicable to other public companies that are not emerging growth companies. These exemptions include:</w:t>
      </w:r>
    </w:p>
    <w:p>
      <w:pPr>
        <w:spacing w:after="0" w:line="141" w:lineRule="exact"/>
        <w:rPr>
          <w:sz w:val="20"/>
          <w:szCs w:val="20"/>
          <w:color w:val="auto"/>
        </w:rPr>
      </w:pPr>
    </w:p>
    <w:p>
      <w:pPr>
        <w:ind w:left="720" w:right="300" w:hanging="368"/>
        <w:spacing w:after="0" w:line="239" w:lineRule="auto"/>
        <w:tabs>
          <w:tab w:leader="none" w:pos="7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not being required to comply with the auditor attestation requirements in the assessment of our internal control over financial reporting;</w:t>
      </w:r>
    </w:p>
    <w:p>
      <w:pPr>
        <w:spacing w:after="0" w:line="132" w:lineRule="exact"/>
        <w:rPr>
          <w:rFonts w:ascii="Arial" w:cs="Arial" w:eastAsia="Arial" w:hAnsi="Arial"/>
          <w:sz w:val="12"/>
          <w:szCs w:val="12"/>
          <w:color w:val="auto"/>
        </w:rPr>
      </w:pPr>
    </w:p>
    <w:p>
      <w:pPr>
        <w:ind w:left="720" w:right="220" w:hanging="368"/>
        <w:spacing w:after="0" w:line="239" w:lineRule="auto"/>
        <w:tabs>
          <w:tab w:leader="none" w:pos="7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0" w:lineRule="exact"/>
        <w:rPr>
          <w:rFonts w:ascii="Arial" w:cs="Arial" w:eastAsia="Arial" w:hAnsi="Arial"/>
          <w:sz w:val="12"/>
          <w:szCs w:val="12"/>
          <w:color w:val="auto"/>
        </w:rPr>
      </w:pPr>
    </w:p>
    <w:p>
      <w:pPr>
        <w:ind w:left="720" w:hanging="368"/>
        <w:spacing w:after="0"/>
        <w:tabs>
          <w:tab w:leader="none" w:pos="7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reduced disclosure obligations regarding executive compensation;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AND INDUSTRY AND MARKET DATA</w:t>
      </w:r>
    </w:p>
    <w:p>
      <w:pPr>
        <w:spacing w:after="0" w:line="141" w:lineRule="exact"/>
        <w:rPr>
          <w:sz w:val="20"/>
          <w:szCs w:val="20"/>
          <w:color w:val="auto"/>
        </w:rPr>
      </w:pPr>
    </w:p>
    <w:p>
      <w:pPr>
        <w:ind w:right="120" w:firstLine="323"/>
        <w:spacing w:after="0" w:line="237" w:lineRule="auto"/>
        <w:rPr>
          <w:sz w:val="20"/>
          <w:szCs w:val="20"/>
          <w:color w:val="auto"/>
        </w:rPr>
      </w:pPr>
      <w:r>
        <w:rPr>
          <w:rFonts w:ascii="Arial" w:cs="Arial" w:eastAsia="Arial" w:hAnsi="Arial"/>
          <w:sz w:val="12"/>
          <w:szCs w:val="12"/>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"anticipates," "believes," "could," "estimates," "expects," "intends," "may," "might," "likely," "plans," "potential," "predicts," "projects," "seeks," "should," "target," "will," "would," or similar expressions and the negatives of those terms. Forward-looking statements contained in this prospectus include, but are not limited to, statements about:</w:t>
      </w:r>
    </w:p>
    <w:p>
      <w:pPr>
        <w:spacing w:after="0" w:line="139" w:lineRule="exact"/>
        <w:rPr>
          <w:sz w:val="20"/>
          <w:szCs w:val="20"/>
          <w:color w:val="auto"/>
        </w:rPr>
      </w:pPr>
    </w:p>
    <w:p>
      <w:pPr>
        <w:ind w:left="720" w:right="40" w:hanging="368"/>
        <w:spacing w:after="0" w:line="239" w:lineRule="auto"/>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attract and retain consumers and dealers using our marketplace;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develop new and enhanced products and services to attract and retain consumers and dealers, and our ability to successfully monetize them;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anticipated growth and growth strategies and our ability to effectively manage that growth;</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maintain and build our brand;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reliance on our third-party data providers;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expand internationally;</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impact of competition in our industry and innovation by our competitors;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hire and retain necessary qualified employees to expand our operations;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adequately protect our intellectual property;</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stay abreast of new or modified laws and regulations that currently apply or become applicable to our business;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increased expenses and administrative workload associated with being a public company;</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to maintain an effective system of internal controls necessary to accurately report our financial results and prevent fraud;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future trading prices of our Class A common stock.</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caution you that the foregoing list may not contain all of the forward-looking statements made in this prospectus.</w:t>
      </w:r>
    </w:p>
    <w:p>
      <w:pPr>
        <w:spacing w:after="0" w:line="141" w:lineRule="exact"/>
        <w:rPr>
          <w:sz w:val="20"/>
          <w:szCs w:val="20"/>
          <w:color w:val="auto"/>
        </w:rPr>
      </w:pPr>
    </w:p>
    <w:p>
      <w:pPr>
        <w:ind w:firstLine="323"/>
        <w:spacing w:after="0" w:line="264" w:lineRule="auto"/>
        <w:rPr>
          <w:sz w:val="20"/>
          <w:szCs w:val="20"/>
          <w:color w:val="auto"/>
        </w:rPr>
      </w:pPr>
      <w:r>
        <w:rPr>
          <w:rFonts w:ascii="Arial" w:cs="Arial" w:eastAsia="Arial" w:hAnsi="Arial"/>
          <w:sz w:val="11"/>
          <w:szCs w:val="11"/>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operating results, and growth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Further, our</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2" w:right="2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right="760"/>
        <w:spacing w:after="0" w:line="281" w:lineRule="auto"/>
        <w:rPr>
          <w:sz w:val="20"/>
          <w:szCs w:val="20"/>
          <w:color w:val="auto"/>
        </w:rPr>
      </w:pPr>
      <w:r>
        <w:rPr>
          <w:rFonts w:ascii="Arial" w:cs="Arial" w:eastAsia="Arial" w:hAnsi="Arial"/>
          <w:sz w:val="11"/>
          <w:szCs w:val="11"/>
          <w:color w:val="auto"/>
        </w:rPr>
        <w:t>forward-looking statements do not reflect the potential impact of any future acquisitions, mergers, dispositions, joint ventures, or investments we may make.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18" w:lineRule="exact"/>
        <w:rPr>
          <w:sz w:val="20"/>
          <w:szCs w:val="20"/>
          <w:color w:val="auto"/>
        </w:rPr>
      </w:pPr>
    </w:p>
    <w:p>
      <w:pPr>
        <w:ind w:right="260" w:firstLine="323"/>
        <w:spacing w:after="0" w:line="239" w:lineRule="auto"/>
        <w:rPr>
          <w:sz w:val="20"/>
          <w:szCs w:val="20"/>
          <w:color w:val="auto"/>
        </w:rPr>
      </w:pPr>
      <w:r>
        <w:rPr>
          <w:rFonts w:ascii="Arial" w:cs="Arial" w:eastAsia="Arial" w:hAnsi="Arial"/>
          <w:sz w:val="12"/>
          <w:szCs w:val="12"/>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39" w:lineRule="exact"/>
        <w:rPr>
          <w:sz w:val="20"/>
          <w:szCs w:val="20"/>
          <w:color w:val="auto"/>
        </w:rPr>
      </w:pPr>
    </w:p>
    <w:p>
      <w:pPr>
        <w:ind w:firstLine="323"/>
        <w:spacing w:after="0" w:line="260" w:lineRule="auto"/>
        <w:rPr>
          <w:sz w:val="20"/>
          <w:szCs w:val="20"/>
          <w:color w:val="auto"/>
        </w:rPr>
      </w:pPr>
      <w:r>
        <w:rPr>
          <w:rFonts w:ascii="Arial" w:cs="Arial" w:eastAsia="Arial" w:hAnsi="Arial"/>
          <w:sz w:val="11"/>
          <w:szCs w:val="11"/>
          <w:color w:val="auto"/>
        </w:rPr>
        <w:t>This prospectus also contains estimates and other statistical data, including those relating to our industry and the market in which we operate, that we have obtained or derived from industry publications and reports, including reports from comScore, Borrell Associates, and publicly available information. We rely on Google Analytics for data relating to our own key business metrics and, for consistency, we rely on comScore for all data relating to comparisons with our competitors. Google Analytics and comScore use different methodologies to derive their data and therefore their data for similar statistics is not comparable. These industry publications and reports generally indicate that they have obtained their information from sources believed to be reliable, but do not guarantee the accuracy and completeness of their information. This information involves a number of assumptions and limitations, and you are cautioned not to give undue weight to these estimates, as there is no assurance that any of them will be reached. Based on our industry experience, we believe that the publications and reports are reliable and that the conclusions contained in the publications and reports are reasonable. The industry in which we operate is subject to a high degree of uncertainty and risk due to a variety of factors, including those described in the section titled "Risk Factors." These and other factors could cause our actual results to differ materially from those expressed in the industry publications and reports.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USE OF PROCEEDS</w:t>
      </w:r>
    </w:p>
    <w:p>
      <w:pPr>
        <w:spacing w:after="0" w:line="155" w:lineRule="exact"/>
        <w:rPr>
          <w:sz w:val="20"/>
          <w:szCs w:val="20"/>
          <w:color w:val="auto"/>
        </w:rPr>
      </w:pPr>
    </w:p>
    <w:p>
      <w:pPr>
        <w:ind w:right="80" w:firstLine="326"/>
        <w:spacing w:after="0" w:line="256" w:lineRule="auto"/>
        <w:rPr>
          <w:sz w:val="20"/>
          <w:szCs w:val="20"/>
          <w:color w:val="auto"/>
        </w:rPr>
      </w:pPr>
      <w:r>
        <w:rPr>
          <w:rFonts w:ascii="Arial" w:cs="Arial" w:eastAsia="Arial" w:hAnsi="Arial"/>
          <w:sz w:val="11"/>
          <w:szCs w:val="11"/>
          <w:color w:val="auto"/>
        </w:rPr>
        <w:t>We estimate that the net proceeds from the sale of 2,500,000 shares of our Class A common stock in this offering will be approximately $33.1 million, after deducting the underwriting discounts and commissions and estimated offering expenses payable by us. If the underwriters' option to purchase additional shares of Class A common stock from us is exercised in full, we estimate that our net proceeds would be approximately</w:t>
      </w:r>
    </w:p>
    <w:p>
      <w:pPr>
        <w:ind w:right="40"/>
        <w:spacing w:after="0" w:line="239" w:lineRule="auto"/>
        <w:rPr>
          <w:sz w:val="20"/>
          <w:szCs w:val="20"/>
          <w:color w:val="auto"/>
        </w:rPr>
      </w:pPr>
      <w:r>
        <w:rPr>
          <w:rFonts w:ascii="Arial" w:cs="Arial" w:eastAsia="Arial" w:hAnsi="Arial"/>
          <w:sz w:val="12"/>
          <w:szCs w:val="12"/>
          <w:color w:val="auto"/>
        </w:rPr>
        <w:t>$43.6 million, after deducting the underwriting discounts and commissions, and estimated offering expenses payable by us. We will not receive any proceeds from the sale of shares by the selling stockholders, although we will bear the costs, other than underwriting discounts and commissions, associated with the sale of these shares.</w:t>
      </w:r>
    </w:p>
    <w:p>
      <w:pPr>
        <w:spacing w:after="0" w:line="139"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principal purposes of this offering are to increase our financial flexibility, improve our visibility in the marketplace, create a public market for our Class A common stock, and facilitate our future access to the public capital markets. We currently intend to use the net proceeds from this offering primarily for general corporate purposes, including working capital, operating expenses, and capital expenditures. We may also use a portion of the net proceeds to acquire or invest in complementary technologies, solutions, products, services, businesses, or other assets, although we have no present commitments or agreements to enter into any acquisitions or investments.</w:t>
      </w:r>
    </w:p>
    <w:p>
      <w:pPr>
        <w:spacing w:after="0" w:line="139" w:lineRule="exact"/>
        <w:rPr>
          <w:sz w:val="20"/>
          <w:szCs w:val="20"/>
          <w:color w:val="auto"/>
        </w:rPr>
      </w:pPr>
    </w:p>
    <w:p>
      <w:pPr>
        <w:ind w:right="160" w:firstLine="319"/>
        <w:spacing w:after="0" w:line="237" w:lineRule="auto"/>
        <w:rPr>
          <w:sz w:val="20"/>
          <w:szCs w:val="20"/>
          <w:color w:val="auto"/>
        </w:rPr>
      </w:pPr>
      <w:r>
        <w:rPr>
          <w:rFonts w:ascii="Arial" w:cs="Arial" w:eastAsia="Arial" w:hAnsi="Arial"/>
          <w:sz w:val="12"/>
          <w:szCs w:val="12"/>
          <w:color w:val="auto"/>
        </w:rPr>
        <w:t>As of the date of this prospectus, we cannot specify with certainty all of the particular uses of the net proceeds from this offering. The amount and timing of our actual expenditures will depend on numerous factors, including the cash used in or generated by our operations, sales and marketing efforts, competition, the pace of our expansion plans, our investments, and acquisitions. Accordingly, we will have broad discretion in using these proceeds. Pending these uses, we intend to invest the net proceeds from this offering in short-term and intermediate-term investment-grade interest-bearing securities and obligations, such as money market accounts, certificates of deposit, commercial paper, and guaranteed obligations of the U.S. government. We cannot predict whether the invested proceeds will yield a favorable return.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DIVIDEND POLICY</w:t>
      </w:r>
    </w:p>
    <w:p>
      <w:pPr>
        <w:spacing w:after="0" w:line="155" w:lineRule="exact"/>
        <w:rPr>
          <w:sz w:val="20"/>
          <w:szCs w:val="20"/>
          <w:color w:val="auto"/>
        </w:rPr>
      </w:pPr>
    </w:p>
    <w:p>
      <w:pPr>
        <w:jc w:val="both"/>
        <w:ind w:firstLine="326"/>
        <w:spacing w:after="0" w:line="264" w:lineRule="auto"/>
        <w:rPr>
          <w:sz w:val="20"/>
          <w:szCs w:val="20"/>
          <w:color w:val="auto"/>
        </w:rPr>
      </w:pPr>
      <w:r>
        <w:rPr>
          <w:rFonts w:ascii="Arial" w:cs="Arial" w:eastAsia="Arial" w:hAnsi="Arial"/>
          <w:sz w:val="11"/>
          <w:szCs w:val="11"/>
          <w:color w:val="auto"/>
        </w:rPr>
        <w:t>We have never declared or paid cash dividends on our Class A common stock. We currently intend to retain all available funds and any future earnings for use in the development, operation, and expansion of our business and do not anticipate declaring or paying any dividends on our Class A common stock in the foreseeable future. Any future determination to declare dividends on our Class A common stock will be made at the discretion of our board of directors and will depend on our financial condition, operating results, capital requirements, general business conditions, any restrictions on paying dividends, and other factors that our board of directors may deem relevant. As a result, we anticipate that only appreciation of the price of our Class A common stock, if any, will provide a return to investors in this offering for at least the foreseeable future.</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220" w:top="142" w:right="4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CAPITALIZATION</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our consolidated cash, cash equivalents, and investments and capitalization as of June 30, 2017 on:</w:t>
      </w:r>
    </w:p>
    <w:p>
      <w:pPr>
        <w:spacing w:after="0" w:line="141" w:lineRule="exact"/>
        <w:rPr>
          <w:sz w:val="20"/>
          <w:szCs w:val="20"/>
          <w:color w:val="auto"/>
        </w:rPr>
      </w:pPr>
    </w:p>
    <w:p>
      <w:pPr>
        <w:ind w:left="720" w:hanging="368"/>
        <w:spacing w:after="0"/>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 actual basis;</w:t>
      </w:r>
    </w:p>
    <w:p>
      <w:pPr>
        <w:spacing w:after="0" w:line="141" w:lineRule="exact"/>
        <w:rPr>
          <w:rFonts w:ascii="Arial" w:cs="Arial" w:eastAsia="Arial" w:hAnsi="Arial"/>
          <w:sz w:val="12"/>
          <w:szCs w:val="12"/>
          <w:color w:val="auto"/>
        </w:rPr>
      </w:pPr>
    </w:p>
    <w:p>
      <w:pPr>
        <w:ind w:left="720" w:right="20" w:hanging="368"/>
        <w:spacing w:after="0" w:line="237" w:lineRule="auto"/>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on a pro forma basis to reflect (i) the automatic conversion of all shares of our convertible preferred stock outstanding as of June 30, 2017 into 20,188,226 shares of our Class A common stock and 40,376,452 shares of our Class B common stock, which Class B common stock will subsequently convert into 40,376,452 shares of our Class A common stock, which conversions will occur upon the closing of this offering and (ii) the stock-based compensation expense of $1.9 million associated with vesting of restricted stock units upon the closing of this offering; and</w:t>
      </w:r>
    </w:p>
    <w:p>
      <w:pPr>
        <w:spacing w:after="0" w:line="131" w:lineRule="exact"/>
        <w:rPr>
          <w:rFonts w:ascii="Arial" w:cs="Arial" w:eastAsia="Arial" w:hAnsi="Arial"/>
          <w:sz w:val="12"/>
          <w:szCs w:val="12"/>
          <w:color w:val="auto"/>
        </w:rPr>
      </w:pPr>
    </w:p>
    <w:p>
      <w:pPr>
        <w:ind w:left="720" w:hanging="368"/>
        <w:spacing w:after="0" w:line="236" w:lineRule="auto"/>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on a pro forma as adjusted basis giving effect to the pro forma adjustments set forth above and to further reflect (i) the filing and effectiveness of our amended and restated certificate of incorporation, which will occur in connection with the closing of this offering and (ii) our receipt of the net proceeds from the sale by us of 2,500,000 shares of Class A common stock in this offering at the initial public offering price of $16.00 per share, after deducting the underwriting discounts and commissions and estimated offering expenses payable by us. Additionally, for purposes of the pro forma as adjusted amounts shown above, the net proceeds to be received by us from the sale of Class A common stock in this offering of $33.1 million have been increased by approximately $305,000 to reflect the estimated offering expenses that had been paid by us as of June 30, 2017.</w:t>
      </w:r>
    </w:p>
    <w:p>
      <w:pPr>
        <w:spacing w:after="0" w:line="141" w:lineRule="exact"/>
        <w:rPr>
          <w:sz w:val="20"/>
          <w:szCs w:val="20"/>
          <w:color w:val="auto"/>
        </w:rPr>
      </w:pPr>
    </w:p>
    <w:p>
      <w:pPr>
        <w:ind w:right="200" w:firstLine="323"/>
        <w:spacing w:after="0" w:line="239" w:lineRule="auto"/>
        <w:rPr>
          <w:sz w:val="20"/>
          <w:szCs w:val="20"/>
          <w:color w:val="auto"/>
        </w:rPr>
      </w:pPr>
      <w:r>
        <w:rPr>
          <w:rFonts w:ascii="Arial" w:cs="Arial" w:eastAsia="Arial" w:hAnsi="Arial"/>
          <w:sz w:val="12"/>
          <w:szCs w:val="12"/>
          <w:color w:val="auto"/>
        </w:rPr>
        <w:t>You should read this table together with the section titled "Management's Discussion and Analysis of Financial Condition and Results of Operations" and our consolidated financial statements and the related notes appearing elsewhere in this prospectus.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8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7"/>
          </w:tcPr>
          <w:p>
            <w:pPr>
              <w:jc w:val="right"/>
              <w:ind w:right="501"/>
              <w:spacing w:after="0"/>
              <w:rPr>
                <w:sz w:val="20"/>
                <w:szCs w:val="20"/>
                <w:color w:val="auto"/>
              </w:rPr>
            </w:pPr>
            <w:r>
              <w:rPr>
                <w:rFonts w:ascii="Arial" w:cs="Arial" w:eastAsia="Arial" w:hAnsi="Arial"/>
                <w:sz w:val="12"/>
                <w:szCs w:val="12"/>
                <w:color w:val="auto"/>
                <w:w w:val="99"/>
              </w:rPr>
              <w:t>At June 30, 2017</w:t>
            </w:r>
          </w:p>
        </w:tc>
        <w:tc>
          <w:tcPr>
            <w:tcW w:w="120" w:type="dxa"/>
            <w:vAlign w:val="bottom"/>
          </w:tcPr>
          <w:p>
            <w:pPr>
              <w:spacing w:after="0"/>
              <w:rPr>
                <w:sz w:val="12"/>
                <w:szCs w:val="12"/>
                <w:color w:val="auto"/>
              </w:rPr>
            </w:pPr>
          </w:p>
        </w:tc>
      </w:tr>
      <w:tr>
        <w:trPr>
          <w:trHeight w:val="135"/>
        </w:trPr>
        <w:tc>
          <w:tcPr>
            <w:tcW w:w="8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Pro forma</w:t>
            </w:r>
          </w:p>
        </w:tc>
      </w:tr>
      <w:tr>
        <w:trPr>
          <w:trHeight w:val="133"/>
        </w:trPr>
        <w:tc>
          <w:tcPr>
            <w:tcW w:w="8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Actual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4"/>
              </w:rPr>
              <w:t>Pro forma</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4"/>
              </w:rPr>
              <w:t>as adjusted</w:t>
            </w:r>
          </w:p>
        </w:tc>
        <w:tc>
          <w:tcPr>
            <w:tcW w:w="120" w:type="dxa"/>
            <w:vAlign w:val="bottom"/>
          </w:tcPr>
          <w:p>
            <w:pPr>
              <w:spacing w:after="0"/>
              <w:rPr>
                <w:sz w:val="11"/>
                <w:szCs w:val="11"/>
                <w:color w:val="auto"/>
              </w:rPr>
            </w:pPr>
          </w:p>
        </w:tc>
      </w:tr>
      <w:tr>
        <w:trPr>
          <w:trHeight w:val="135"/>
        </w:trPr>
        <w:tc>
          <w:tcPr>
            <w:tcW w:w="8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10"/>
          </w:tcPr>
          <w:p>
            <w:pPr>
              <w:jc w:val="right"/>
              <w:ind w:right="300"/>
              <w:spacing w:after="0" w:line="136" w:lineRule="exact"/>
              <w:rPr>
                <w:sz w:val="20"/>
                <w:szCs w:val="20"/>
                <w:color w:val="auto"/>
              </w:rPr>
            </w:pPr>
            <w:r>
              <w:rPr>
                <w:rFonts w:ascii="Arial" w:cs="Arial" w:eastAsia="Arial" w:hAnsi="Arial"/>
                <w:sz w:val="12"/>
                <w:szCs w:val="12"/>
                <w:color w:val="auto"/>
              </w:rPr>
              <w:t>(in thousands, except share and</w:t>
            </w:r>
          </w:p>
        </w:tc>
      </w:tr>
      <w:tr>
        <w:trPr>
          <w:trHeight w:val="133"/>
        </w:trPr>
        <w:tc>
          <w:tcPr>
            <w:tcW w:w="8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color w:val="auto"/>
                <w:w w:val="93"/>
              </w:rPr>
              <w:t>per share data)</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8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cash equivalents, and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81,309</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81,309</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114,714</w:t>
            </w:r>
          </w:p>
        </w:tc>
        <w:tc>
          <w:tcPr>
            <w:tcW w:w="120" w:type="dxa"/>
            <w:vAlign w:val="bottom"/>
            <w:shd w:val="clear" w:color="auto" w:fill="CCEEFF"/>
          </w:tcPr>
          <w:p>
            <w:pPr>
              <w:spacing w:after="0"/>
              <w:rPr>
                <w:sz w:val="12"/>
                <w:szCs w:val="12"/>
                <w:color w:val="auto"/>
              </w:rPr>
            </w:pPr>
          </w:p>
        </w:tc>
      </w:tr>
      <w:tr>
        <w:trPr>
          <w:trHeight w:val="137"/>
        </w:trPr>
        <w:tc>
          <w:tcPr>
            <w:tcW w:w="8120" w:type="dxa"/>
            <w:vAlign w:val="bottom"/>
          </w:tcPr>
          <w:p>
            <w:pPr>
              <w:spacing w:after="0"/>
              <w:rPr>
                <w:sz w:val="20"/>
                <w:szCs w:val="20"/>
                <w:color w:val="auto"/>
              </w:rPr>
            </w:pPr>
            <w:r>
              <w:rPr>
                <w:rFonts w:ascii="Arial" w:cs="Arial" w:eastAsia="Arial" w:hAnsi="Arial"/>
                <w:sz w:val="12"/>
                <w:szCs w:val="12"/>
                <w:color w:val="auto"/>
              </w:rPr>
              <w:t>Convertible preferred stock, $0.001 par value per share; 11,091,782 shares authorized, 10,094,108 issued or outstanding, actual; 11,091,782 shares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8120" w:type="dxa"/>
            <w:vAlign w:val="bottom"/>
          </w:tcPr>
          <w:p>
            <w:pPr>
              <w:ind w:left="120"/>
              <w:spacing w:after="0" w:line="133" w:lineRule="exact"/>
              <w:rPr>
                <w:sz w:val="20"/>
                <w:szCs w:val="20"/>
                <w:color w:val="auto"/>
              </w:rPr>
            </w:pPr>
            <w:r>
              <w:rPr>
                <w:rFonts w:ascii="Arial" w:cs="Arial" w:eastAsia="Arial" w:hAnsi="Arial"/>
                <w:sz w:val="12"/>
                <w:szCs w:val="12"/>
                <w:color w:val="auto"/>
              </w:rPr>
              <w:t>authorized, no shares issued or outstanding, pro forma; 10,000,000 shares authorized, no shares issued or outstanding, pro forma as adjusted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132,698</w:t>
            </w:r>
          </w:p>
        </w:tc>
        <w:tc>
          <w:tcPr>
            <w:tcW w:w="40" w:type="dxa"/>
            <w:vAlign w:val="bottom"/>
          </w:tcPr>
          <w:p>
            <w:pPr>
              <w:spacing w:after="0"/>
              <w:rPr>
                <w:sz w:val="11"/>
                <w:szCs w:val="11"/>
                <w:color w:val="auto"/>
              </w:rPr>
            </w:pPr>
          </w:p>
        </w:tc>
        <w:tc>
          <w:tcPr>
            <w:tcW w:w="140" w:type="dxa"/>
            <w:vAlign w:val="bottom"/>
            <w:gridSpan w:val="2"/>
          </w:tcPr>
          <w:p>
            <w:pPr>
              <w:ind w:left="60"/>
              <w:spacing w:after="0" w:line="133" w:lineRule="exact"/>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r>
      <w:tr>
        <w:trPr>
          <w:trHeight w:val="135"/>
        </w:trPr>
        <w:tc>
          <w:tcPr>
            <w:tcW w:w="8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Stockholders' (deficit) equity:</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7"/>
        </w:trPr>
        <w:tc>
          <w:tcPr>
            <w:tcW w:w="8120" w:type="dxa"/>
            <w:vAlign w:val="bottom"/>
          </w:tcPr>
          <w:p>
            <w:pPr>
              <w:ind w:left="120"/>
              <w:spacing w:after="0"/>
              <w:rPr>
                <w:sz w:val="20"/>
                <w:szCs w:val="20"/>
                <w:color w:val="auto"/>
              </w:rPr>
            </w:pPr>
            <w:r>
              <w:rPr>
                <w:rFonts w:ascii="Arial" w:cs="Arial" w:eastAsia="Arial" w:hAnsi="Arial"/>
                <w:sz w:val="12"/>
                <w:szCs w:val="12"/>
                <w:color w:val="auto"/>
              </w:rPr>
              <w:t>Class A common stock, $0.001 par value per share, 120,020,700 shares authorized, 14,080,616 shares issued and outstanding, actual; 120,020,700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120" w:type="dxa"/>
            <w:vAlign w:val="bottom"/>
          </w:tcPr>
          <w:p>
            <w:pPr>
              <w:ind w:left="240"/>
              <w:spacing w:after="0" w:line="135" w:lineRule="exact"/>
              <w:rPr>
                <w:sz w:val="20"/>
                <w:szCs w:val="20"/>
                <w:color w:val="auto"/>
              </w:rPr>
            </w:pPr>
            <w:r>
              <w:rPr>
                <w:rFonts w:ascii="Arial" w:cs="Arial" w:eastAsia="Arial" w:hAnsi="Arial"/>
                <w:sz w:val="12"/>
                <w:szCs w:val="12"/>
                <w:color w:val="auto"/>
              </w:rPr>
              <w:t>shares authorized, 74,645,294 shares issued and outstanding pro forma; and 500,000,000 shares authorized, 77,145,294 shares issued and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8120" w:type="dxa"/>
            <w:vAlign w:val="bottom"/>
          </w:tcPr>
          <w:p>
            <w:pPr>
              <w:ind w:left="240"/>
              <w:spacing w:after="0" w:line="133" w:lineRule="exact"/>
              <w:rPr>
                <w:sz w:val="20"/>
                <w:szCs w:val="20"/>
                <w:color w:val="auto"/>
              </w:rPr>
            </w:pPr>
            <w:r>
              <w:rPr>
                <w:rFonts w:ascii="Arial" w:cs="Arial" w:eastAsia="Arial" w:hAnsi="Arial"/>
                <w:sz w:val="12"/>
                <w:szCs w:val="12"/>
                <w:color w:val="auto"/>
              </w:rPr>
              <w:t>outstanding pro forma as adjusted</w:t>
            </w: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77</w:t>
            </w:r>
          </w:p>
        </w:tc>
        <w:tc>
          <w:tcPr>
            <w:tcW w:w="120" w:type="dxa"/>
            <w:vAlign w:val="bottom"/>
          </w:tcPr>
          <w:p>
            <w:pPr>
              <w:spacing w:after="0"/>
              <w:rPr>
                <w:sz w:val="11"/>
                <w:szCs w:val="11"/>
                <w:color w:val="auto"/>
              </w:rPr>
            </w:pPr>
          </w:p>
        </w:tc>
      </w:tr>
      <w:tr>
        <w:trPr>
          <w:trHeight w:val="137"/>
        </w:trPr>
        <w:tc>
          <w:tcPr>
            <w:tcW w:w="8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B common stock, $0.001 par value per share, 80,013,800 shares authorized, 28,161,232 shares issued and outstanding, actual; 80,013,800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812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shares authorized, 28,161,232 shares issued and outstanding pro forma; and 100,000,000 shares authorized, 28,161,232 shares issued and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8120" w:type="dxa"/>
            <w:vAlign w:val="bottom"/>
            <w:shd w:val="clear" w:color="auto" w:fill="CCEEFF"/>
          </w:tcPr>
          <w:p>
            <w:pPr>
              <w:ind w:left="240"/>
              <w:spacing w:after="0" w:line="133" w:lineRule="exact"/>
              <w:rPr>
                <w:sz w:val="20"/>
                <w:szCs w:val="20"/>
                <w:color w:val="auto"/>
              </w:rPr>
            </w:pPr>
            <w:r>
              <w:rPr>
                <w:rFonts w:ascii="Arial" w:cs="Arial" w:eastAsia="Arial" w:hAnsi="Arial"/>
                <w:sz w:val="12"/>
                <w:szCs w:val="12"/>
                <w:color w:val="auto"/>
              </w:rPr>
              <w:t>outstanding pro forma as adjusted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1"/>
                <w:szCs w:val="11"/>
                <w:color w:val="auto"/>
              </w:rPr>
            </w:pPr>
          </w:p>
        </w:tc>
      </w:tr>
      <w:tr>
        <w:trPr>
          <w:trHeight w:val="135"/>
        </w:trPr>
        <w:tc>
          <w:tcPr>
            <w:tcW w:w="8120" w:type="dxa"/>
            <w:vAlign w:val="bottom"/>
          </w:tcPr>
          <w:p>
            <w:pPr>
              <w:ind w:left="120"/>
              <w:spacing w:after="0" w:line="135" w:lineRule="exact"/>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4,032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138,566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171,664</w:t>
            </w:r>
          </w:p>
        </w:tc>
        <w:tc>
          <w:tcPr>
            <w:tcW w:w="120" w:type="dxa"/>
            <w:vAlign w:val="bottom"/>
          </w:tcPr>
          <w:p>
            <w:pPr>
              <w:spacing w:after="0"/>
              <w:rPr>
                <w:sz w:val="11"/>
                <w:szCs w:val="11"/>
                <w:color w:val="auto"/>
              </w:rPr>
            </w:pPr>
          </w:p>
        </w:tc>
      </w:tr>
      <w:tr>
        <w:trPr>
          <w:trHeight w:val="135"/>
        </w:trPr>
        <w:tc>
          <w:tcPr>
            <w:tcW w:w="81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Accumulated deficit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(63,145)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(65,042)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(65,042)</w:t>
            </w:r>
          </w:p>
        </w:tc>
      </w:tr>
      <w:tr>
        <w:trPr>
          <w:trHeight w:val="135"/>
        </w:trPr>
        <w:tc>
          <w:tcPr>
            <w:tcW w:w="8120" w:type="dxa"/>
            <w:vAlign w:val="bottom"/>
          </w:tcPr>
          <w:p>
            <w:pPr>
              <w:ind w:left="120"/>
              <w:spacing w:after="0" w:line="135" w:lineRule="exact"/>
              <w:rPr>
                <w:sz w:val="20"/>
                <w:szCs w:val="20"/>
                <w:color w:val="auto"/>
              </w:rPr>
            </w:pPr>
            <w:r>
              <w:rPr>
                <w:rFonts w:ascii="Arial" w:cs="Arial" w:eastAsia="Arial" w:hAnsi="Arial"/>
                <w:sz w:val="12"/>
                <w:szCs w:val="12"/>
                <w:color w:val="auto"/>
              </w:rPr>
              <w:t>Accumulated other comprehensive loss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127</w:t>
            </w:r>
          </w:p>
        </w:tc>
        <w:tc>
          <w:tcPr>
            <w:tcW w:w="120" w:type="dxa"/>
            <w:vAlign w:val="bottom"/>
          </w:tcPr>
          <w:p>
            <w:pPr>
              <w:spacing w:after="0"/>
              <w:rPr>
                <w:sz w:val="11"/>
                <w:szCs w:val="11"/>
                <w:color w:val="auto"/>
              </w:rPr>
            </w:pPr>
          </w:p>
        </w:tc>
      </w:tr>
      <w:tr>
        <w:trPr>
          <w:trHeight w:val="124"/>
        </w:trPr>
        <w:tc>
          <w:tcPr>
            <w:tcW w:w="812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Total stockholders' (deficit) equity</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(58,944)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73,754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106,854</w:t>
            </w:r>
          </w:p>
        </w:tc>
        <w:tc>
          <w:tcPr>
            <w:tcW w:w="120" w:type="dxa"/>
            <w:vAlign w:val="bottom"/>
            <w:shd w:val="clear" w:color="auto" w:fill="CCEEFF"/>
          </w:tcPr>
          <w:p>
            <w:pPr>
              <w:spacing w:after="0"/>
              <w:rPr>
                <w:sz w:val="10"/>
                <w:szCs w:val="10"/>
                <w:color w:val="auto"/>
              </w:rPr>
            </w:pPr>
          </w:p>
        </w:tc>
      </w:tr>
      <w:tr>
        <w:trPr>
          <w:trHeight w:val="131"/>
        </w:trPr>
        <w:tc>
          <w:tcPr>
            <w:tcW w:w="8120" w:type="dxa"/>
            <w:vAlign w:val="bottom"/>
          </w:tcPr>
          <w:p>
            <w:pPr>
              <w:spacing w:after="0" w:line="124" w:lineRule="exact"/>
              <w:rPr>
                <w:sz w:val="20"/>
                <w:szCs w:val="20"/>
                <w:color w:val="auto"/>
              </w:rPr>
            </w:pPr>
            <w:r>
              <w:rPr>
                <w:rFonts w:ascii="Arial" w:cs="Arial" w:eastAsia="Arial" w:hAnsi="Arial"/>
                <w:sz w:val="12"/>
                <w:szCs w:val="12"/>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73,754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73,754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106,854</w:t>
            </w:r>
          </w:p>
        </w:tc>
        <w:tc>
          <w:tcPr>
            <w:tcW w:w="120" w:type="dxa"/>
            <w:vAlign w:val="bottom"/>
          </w:tcPr>
          <w:p>
            <w:pPr>
              <w:spacing w:after="0"/>
              <w:rPr>
                <w:sz w:val="11"/>
                <w:szCs w:val="11"/>
                <w:color w:val="auto"/>
              </w:rPr>
            </w:pPr>
          </w:p>
        </w:tc>
      </w:tr>
    </w:tbl>
    <w:p>
      <w:pPr>
        <w:spacing w:after="0" w:line="146" w:lineRule="exact"/>
        <w:rPr>
          <w:sz w:val="20"/>
          <w:szCs w:val="20"/>
          <w:color w:val="auto"/>
        </w:rPr>
      </w:pPr>
    </w:p>
    <w:p>
      <w:pPr>
        <w:jc w:val="both"/>
        <w:ind w:right="80" w:firstLine="326"/>
        <w:spacing w:after="0" w:line="239" w:lineRule="auto"/>
        <w:rPr>
          <w:sz w:val="20"/>
          <w:szCs w:val="20"/>
          <w:color w:val="auto"/>
        </w:rPr>
      </w:pPr>
      <w:r>
        <w:rPr>
          <w:rFonts w:ascii="Arial" w:cs="Arial" w:eastAsia="Arial" w:hAnsi="Arial"/>
          <w:sz w:val="12"/>
          <w:szCs w:val="12"/>
          <w:color w:val="auto"/>
        </w:rPr>
        <w:t>If the underwriters' option to purchase additional shares of our Class A common stock from us were exercised in full, pro forma as adjusted cash, cash equivalents, and investments, total stockholders' (deficit) equity, total capitalization, and shares outstanding as of June 30, 2017 would be $125.2 million, $117.3 million, $117.3 million, and 106,011,526,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20" w:firstLine="323"/>
        <w:spacing w:after="0" w:line="237" w:lineRule="auto"/>
        <w:rPr>
          <w:sz w:val="20"/>
          <w:szCs w:val="20"/>
          <w:color w:val="auto"/>
        </w:rPr>
      </w:pPr>
      <w:r>
        <w:rPr>
          <w:rFonts w:ascii="Arial" w:cs="Arial" w:eastAsia="Arial" w:hAnsi="Arial"/>
          <w:sz w:val="12"/>
          <w:szCs w:val="12"/>
          <w:color w:val="auto"/>
        </w:rPr>
        <w:t>The number of shares of our Class A common stock and Class B common stock that will be outstanding after this offering is based on 74,645,294 shares of our Class A common stock outstanding and 28,161,232 shares of our Class B common stock outstanding, in each case, as of June 30, 2017 (assuming the automatic conversion of all outstanding shares of our preferred stock into an aggregate of 60,564,678 shares of Class A common stock upon the closing of this offering), and excludes:</w:t>
      </w:r>
    </w:p>
    <w:p>
      <w:pPr>
        <w:spacing w:after="0" w:line="141" w:lineRule="exact"/>
        <w:rPr>
          <w:sz w:val="20"/>
          <w:szCs w:val="20"/>
          <w:color w:val="auto"/>
        </w:rPr>
      </w:pPr>
    </w:p>
    <w:p>
      <w:pPr>
        <w:ind w:left="720" w:right="60" w:hanging="368"/>
        <w:spacing w:after="0" w:line="239" w:lineRule="auto"/>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1,737,056 shares of Class A common stock issuable upon the exercise of options outstanding as of June 30, 2017 with a weighted-average exercise price of $1.65 per share and 3,474,112 shares of Class B common stock issuable upon the exercise of options outstanding as of June 30, 2017 with a weighted-average exercise price of $1.65 per share;</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789,934 shares of Class A common stock and 1,579,868 shares of Class B common stock issuable upon the vesting and settlement of restricted stock units, or RSUs, outstanding as of June 30, 2017; and</w:t>
      </w:r>
    </w:p>
    <w:p>
      <w:pPr>
        <w:spacing w:after="0" w:line="143" w:lineRule="exact"/>
        <w:rPr>
          <w:rFonts w:ascii="Arial" w:cs="Arial" w:eastAsia="Arial" w:hAnsi="Arial"/>
          <w:sz w:val="11"/>
          <w:szCs w:val="11"/>
          <w:color w:val="auto"/>
        </w:rPr>
      </w:pPr>
    </w:p>
    <w:p>
      <w:pPr>
        <w:ind w:left="720" w:hanging="368"/>
        <w:spacing w:after="0" w:line="237" w:lineRule="auto"/>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8,457,912 shares of Class A common stock reserved for future issuance under our equity compensation plans, consisting of (i) 657,912 shares of Class A common stock reserved for future issuance under our Amended and Restated 2015 Equity Incentive Plan, as amended, or the 2015 Plan, as of June 30, 2017, plus (ii) 7,800,000 additional shares of Class A common stock reserved for future issuance under our Omnibus Incentive Compensation Plan, or our 2017 Plan, which will become effective upon the closing of this offering.</w:t>
      </w:r>
    </w:p>
    <w:p>
      <w:pPr>
        <w:spacing w:after="0" w:line="141" w:lineRule="exact"/>
        <w:rPr>
          <w:sz w:val="20"/>
          <w:szCs w:val="20"/>
          <w:color w:val="auto"/>
        </w:rPr>
      </w:pPr>
    </w:p>
    <w:p>
      <w:pPr>
        <w:ind w:right="140" w:firstLine="326"/>
        <w:spacing w:after="0" w:line="236" w:lineRule="auto"/>
        <w:rPr>
          <w:sz w:val="20"/>
          <w:szCs w:val="20"/>
          <w:color w:val="auto"/>
        </w:rPr>
      </w:pPr>
      <w:r>
        <w:rPr>
          <w:rFonts w:ascii="Arial" w:cs="Arial" w:eastAsia="Arial" w:hAnsi="Arial"/>
          <w:sz w:val="12"/>
          <w:szCs w:val="12"/>
          <w:color w:val="auto"/>
        </w:rPr>
        <w:t>Upon the closing of this offering, any remaining shares available for issuance under our 2015 Plan will be added to the shares of our Class A common stock reserved for issuance under our 2017 Plan, and we will cease granting awards under the 2015 Plan. In addition, shares of Class A common stock and shares of Class B common stock subject to outstanding grants under our 2015 Plan as of the effective date of our 2017 Plan that terminate, expire, or are cancelled, forfeited, exchanged, or surrendered on or after the effective date of our 2017 Plan without having been exercised, vested, or paid prior to the effective date of the 2017 Plan, including shares tendered or withheld to satisfy tax withholding obligations with respect to outstanding grants under the 2015 Plan, will be added to the shares of Class A common stock reserved for issuance under our 2017 Plan. See the section titled "Executive Compensation — Employee Benefits and Stock Plans" for additional information.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55" w:lineRule="exact"/>
        <w:rPr>
          <w:sz w:val="20"/>
          <w:szCs w:val="20"/>
          <w:color w:val="auto"/>
        </w:rPr>
      </w:pPr>
    </w:p>
    <w:p>
      <w:pPr>
        <w:ind w:right="20" w:firstLine="326"/>
        <w:spacing w:after="0" w:line="269" w:lineRule="auto"/>
        <w:rPr>
          <w:sz w:val="20"/>
          <w:szCs w:val="20"/>
          <w:color w:val="auto"/>
        </w:rPr>
      </w:pPr>
      <w:r>
        <w:rPr>
          <w:rFonts w:ascii="Arial" w:cs="Arial" w:eastAsia="Arial" w:hAnsi="Arial"/>
          <w:sz w:val="11"/>
          <w:szCs w:val="11"/>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closing of this offering.</w:t>
      </w:r>
    </w:p>
    <w:p>
      <w:pPr>
        <w:spacing w:after="0" w:line="124"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historical net tangible book value per share is determined by dividing our total tangible assets less our total liabilities by the number of shares of common stock outstanding as of June 30, 2017. Our historical net tangible book value as of June 30, 2017 was $73.8 million, or $1.75 per share. Our pro forma net tangible book value was $73.8 million, or $0.72 per share, and is determined by dividing our total tangible assets less our total liabilities by the number of shares of common stock outstanding as of June 30, 2017, after giving effect to the automatic conversion of all shares of our convertible preferred stock outstanding as of June 30, 2017 into 20,188,226 shares of our Class A common stock and 40,376,452 shares of our Class B common stock, which Class B common stock will subsequently convert into 40,376,452 shares of our Class A common stock, which conversions will occur upon the closing of this offering.</w:t>
      </w:r>
    </w:p>
    <w:p>
      <w:pPr>
        <w:spacing w:after="0" w:line="141"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2"/>
          <w:szCs w:val="12"/>
          <w:color w:val="auto"/>
        </w:rPr>
        <w:t>After giving effect to the sale by us of 2,500,000 shares of our Class A common stock in this offering at the initial public offering price of $16.00 per share, and the receipt of the net proceeds therefrom after deducting the underwriting discounts and commissions and estimated offering expenses payable by us, our pro forma as adjusted net tangible book value as of June 30, 2017 would have been approximately $106.9 million, or $1.01 per share. This represents an immediate increase in pro forma net tangible book value of $0.29 per share to our existing stockholders and an immediate dilution of $14.99 per share to investors purchasing shares of Class A common stock in this offering at the initial public offering price.</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7480" w:type="dxa"/>
            <w:vAlign w:val="bottom"/>
            <w:gridSpan w:val="2"/>
          </w:tcPr>
          <w:p>
            <w:pPr>
              <w:spacing w:after="0"/>
              <w:rPr>
                <w:sz w:val="20"/>
                <w:szCs w:val="20"/>
                <w:color w:val="auto"/>
              </w:rPr>
            </w:pPr>
            <w:r>
              <w:rPr>
                <w:rFonts w:ascii="Arial" w:cs="Arial" w:eastAsia="Arial" w:hAnsi="Arial"/>
                <w:sz w:val="12"/>
                <w:szCs w:val="12"/>
                <w:color w:val="auto"/>
              </w:rPr>
              <w:t>The following table illustrates this dilution: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7"/>
        </w:trPr>
        <w:tc>
          <w:tcPr>
            <w:tcW w:w="748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6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Initial public offering price per share</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6080" w:type="dxa"/>
            <w:vAlign w:val="bottom"/>
          </w:tcPr>
          <w:p>
            <w:pPr>
              <w:ind w:left="120"/>
              <w:spacing w:after="0" w:line="135" w:lineRule="exact"/>
              <w:rPr>
                <w:sz w:val="20"/>
                <w:szCs w:val="20"/>
                <w:color w:val="auto"/>
              </w:rPr>
            </w:pPr>
            <w:r>
              <w:rPr>
                <w:rFonts w:ascii="Arial" w:cs="Arial" w:eastAsia="Arial" w:hAnsi="Arial"/>
                <w:sz w:val="12"/>
                <w:szCs w:val="12"/>
                <w:color w:val="auto"/>
              </w:rPr>
              <w:t>Pro forma net tangible book value per share as of June 30, 2017</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0.72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60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Increase in pro forma net tangible book value per share attributable to new investors in this offering</w:t>
            </w:r>
          </w:p>
        </w:tc>
        <w:tc>
          <w:tcPr>
            <w:tcW w:w="8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4"/>
        </w:trPr>
        <w:tc>
          <w:tcPr>
            <w:tcW w:w="7480" w:type="dxa"/>
            <w:vAlign w:val="bottom"/>
            <w:gridSpan w:val="2"/>
          </w:tcPr>
          <w:p>
            <w:pPr>
              <w:ind w:left="1400"/>
              <w:spacing w:after="0" w:line="124" w:lineRule="exact"/>
              <w:rPr>
                <w:sz w:val="20"/>
                <w:szCs w:val="20"/>
                <w:color w:val="auto"/>
              </w:rPr>
            </w:pPr>
            <w:r>
              <w:rPr>
                <w:rFonts w:ascii="Arial" w:cs="Arial" w:eastAsia="Arial" w:hAnsi="Arial"/>
                <w:sz w:val="12"/>
                <w:szCs w:val="12"/>
                <w:color w:val="auto"/>
              </w:rPr>
              <w:t>Pro forma as adjusted net tangible book value per share as of June 30, 2017</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1.01</w:t>
            </w:r>
          </w:p>
        </w:tc>
        <w:tc>
          <w:tcPr>
            <w:tcW w:w="120" w:type="dxa"/>
            <w:vAlign w:val="bottom"/>
          </w:tcPr>
          <w:p>
            <w:pPr>
              <w:spacing w:after="0"/>
              <w:rPr>
                <w:sz w:val="10"/>
                <w:szCs w:val="10"/>
                <w:color w:val="auto"/>
              </w:rPr>
            </w:pPr>
          </w:p>
        </w:tc>
      </w:tr>
      <w:tr>
        <w:trPr>
          <w:trHeight w:val="20"/>
        </w:trPr>
        <w:tc>
          <w:tcPr>
            <w:tcW w:w="14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1400" w:type="dxa"/>
            <w:vAlign w:val="bottom"/>
          </w:tcPr>
          <w:p>
            <w:pPr>
              <w:spacing w:after="0"/>
              <w:rPr>
                <w:sz w:val="10"/>
                <w:szCs w:val="10"/>
                <w:color w:val="auto"/>
              </w:rPr>
            </w:pPr>
          </w:p>
        </w:tc>
        <w:tc>
          <w:tcPr>
            <w:tcW w:w="60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Dilution in pro forma as adjusted net tangible book value per share to new investors in this offering</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14.99</w:t>
            </w:r>
          </w:p>
        </w:tc>
        <w:tc>
          <w:tcPr>
            <w:tcW w:w="120" w:type="dxa"/>
            <w:vAlign w:val="bottom"/>
            <w:shd w:val="clear" w:color="auto" w:fill="CCEEFF"/>
          </w:tcPr>
          <w:p>
            <w:pPr>
              <w:spacing w:after="0"/>
              <w:rPr>
                <w:sz w:val="10"/>
                <w:szCs w:val="10"/>
                <w:color w:val="auto"/>
              </w:rPr>
            </w:pPr>
          </w:p>
        </w:tc>
      </w:tr>
      <w:tr>
        <w:trPr>
          <w:trHeight w:val="27"/>
        </w:trPr>
        <w:tc>
          <w:tcPr>
            <w:tcW w:w="14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If the underwriters exercise their option to purchase additional shares of Class A common stock from us in full, the pro forma as adjusted net tangible book value per share of our Class A common stock immediately after this offering would be $1.11 per share, and the dilution in pro forma as adjusted net tangible book value per share to new investors in this offering would be $14.89 per share.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2" w:right="27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240" w:firstLine="323"/>
        <w:spacing w:after="0" w:line="237" w:lineRule="auto"/>
        <w:rPr>
          <w:sz w:val="20"/>
          <w:szCs w:val="20"/>
          <w:color w:val="auto"/>
        </w:rPr>
      </w:pPr>
      <w:r>
        <w:rPr>
          <w:rFonts w:ascii="Arial" w:cs="Arial" w:eastAsia="Arial" w:hAnsi="Arial"/>
          <w:sz w:val="12"/>
          <w:szCs w:val="12"/>
          <w:color w:val="auto"/>
        </w:rPr>
        <w:t>The following table summarizes, on a pro forma as adjusted basis at June 30, 2017, the total number of shares purchased from us, the total consideration paid to us, and the average price per share paid to us by existing stockholders and by new investors purchasing shares of Class A common stock in this offering from us at the initial public offering price of $16.00 per share, before deducting the underwriting discounts and commissions and estimated offering expenses payable by us: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880" w:type="dxa"/>
            <w:vAlign w:val="bottom"/>
            <w:gridSpan w:val="2"/>
          </w:tcPr>
          <w:p>
            <w:pPr>
              <w:ind w:left="500"/>
              <w:spacing w:after="0"/>
              <w:rPr>
                <w:sz w:val="20"/>
                <w:szCs w:val="20"/>
                <w:color w:val="auto"/>
              </w:rPr>
            </w:pPr>
            <w:r>
              <w:rPr>
                <w:rFonts w:ascii="Arial" w:cs="Arial" w:eastAsia="Arial" w:hAnsi="Arial"/>
                <w:sz w:val="12"/>
                <w:szCs w:val="12"/>
                <w:color w:val="auto"/>
                <w:w w:val="89"/>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Total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93"/>
              </w:rPr>
              <w:t>Average</w:t>
            </w:r>
          </w:p>
        </w:tc>
      </w:tr>
      <w:tr>
        <w:trPr>
          <w:trHeight w:val="133"/>
        </w:trPr>
        <w:tc>
          <w:tcPr>
            <w:tcW w:w="5100" w:type="dxa"/>
            <w:vAlign w:val="bottom"/>
          </w:tcPr>
          <w:p>
            <w:pPr>
              <w:spacing w:after="0"/>
              <w:rPr>
                <w:sz w:val="11"/>
                <w:szCs w:val="11"/>
                <w:color w:val="auto"/>
              </w:rPr>
            </w:pPr>
          </w:p>
        </w:tc>
        <w:tc>
          <w:tcPr>
            <w:tcW w:w="1300" w:type="dxa"/>
            <w:vAlign w:val="bottom"/>
            <w:tcBorders>
              <w:bottom w:val="single" w:sz="8" w:color="auto"/>
            </w:tcBorders>
            <w:gridSpan w:val="3"/>
          </w:tcPr>
          <w:p>
            <w:pPr>
              <w:jc w:val="right"/>
              <w:ind w:right="281"/>
              <w:spacing w:after="0" w:line="133" w:lineRule="exact"/>
              <w:rPr>
                <w:sz w:val="20"/>
                <w:szCs w:val="20"/>
                <w:color w:val="auto"/>
              </w:rPr>
            </w:pPr>
            <w:r>
              <w:rPr>
                <w:rFonts w:ascii="Arial" w:cs="Arial" w:eastAsia="Arial" w:hAnsi="Arial"/>
                <w:sz w:val="12"/>
                <w:szCs w:val="12"/>
                <w:color w:val="auto"/>
              </w:rPr>
              <w:t>Purchased</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41"/>
              <w:spacing w:after="0" w:line="133" w:lineRule="exact"/>
              <w:rPr>
                <w:sz w:val="20"/>
                <w:szCs w:val="20"/>
                <w:color w:val="auto"/>
              </w:rPr>
            </w:pPr>
            <w:r>
              <w:rPr>
                <w:rFonts w:ascii="Arial" w:cs="Arial" w:eastAsia="Arial" w:hAnsi="Arial"/>
                <w:sz w:val="12"/>
                <w:szCs w:val="12"/>
                <w:color w:val="auto"/>
              </w:rPr>
              <w:t>Consideration</w:t>
            </w:r>
          </w:p>
        </w:tc>
        <w:tc>
          <w:tcPr>
            <w:tcW w:w="320" w:type="dxa"/>
            <w:vAlign w:val="bottom"/>
            <w:gridSpan w:val="2"/>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color w:val="auto"/>
                <w:w w:val="94"/>
              </w:rPr>
              <w:t>Price</w:t>
            </w:r>
          </w:p>
        </w:tc>
      </w:tr>
      <w:tr>
        <w:trPr>
          <w:trHeight w:val="142"/>
        </w:trPr>
        <w:tc>
          <w:tcPr>
            <w:tcW w:w="5100" w:type="dxa"/>
            <w:vAlign w:val="bottom"/>
          </w:tcPr>
          <w:p>
            <w:pPr>
              <w:spacing w:after="0"/>
              <w:rPr>
                <w:sz w:val="12"/>
                <w:szCs w:val="12"/>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Number</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Percent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Amount</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Percent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left="61"/>
              <w:spacing w:after="0"/>
              <w:rPr>
                <w:sz w:val="20"/>
                <w:szCs w:val="20"/>
                <w:color w:val="auto"/>
              </w:rPr>
            </w:pPr>
            <w:r>
              <w:rPr>
                <w:rFonts w:ascii="Arial" w:cs="Arial" w:eastAsia="Arial" w:hAnsi="Arial"/>
                <w:sz w:val="12"/>
                <w:szCs w:val="12"/>
                <w:color w:val="auto"/>
                <w:w w:val="99"/>
              </w:rPr>
              <w:t>Per Share</w:t>
            </w:r>
          </w:p>
        </w:tc>
        <w:tc>
          <w:tcPr>
            <w:tcW w:w="120" w:type="dxa"/>
            <w:vAlign w:val="bottom"/>
          </w:tcPr>
          <w:p>
            <w:pPr>
              <w:spacing w:after="0"/>
              <w:rPr>
                <w:sz w:val="12"/>
                <w:szCs w:val="12"/>
                <w:color w:val="auto"/>
              </w:rPr>
            </w:pPr>
          </w:p>
        </w:tc>
      </w:tr>
      <w:tr>
        <w:trPr>
          <w:trHeight w:val="133"/>
        </w:trPr>
        <w:tc>
          <w:tcPr>
            <w:tcW w:w="5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Existing stockholders</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102,806,526</w:t>
            </w:r>
          </w:p>
        </w:tc>
        <w:tc>
          <w:tcPr>
            <w:tcW w:w="16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3"/>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97.6%$</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133,580,251</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77.0%$</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1"/>
                <w:szCs w:val="11"/>
                <w:color w:val="auto"/>
              </w:rPr>
            </w:pPr>
          </w:p>
        </w:tc>
      </w:tr>
      <w:tr>
        <w:trPr>
          <w:trHeight w:val="135"/>
        </w:trPr>
        <w:tc>
          <w:tcPr>
            <w:tcW w:w="5100" w:type="dxa"/>
            <w:vAlign w:val="bottom"/>
          </w:tcPr>
          <w:p>
            <w:pPr>
              <w:spacing w:after="0" w:line="135" w:lineRule="exact"/>
              <w:rPr>
                <w:sz w:val="20"/>
                <w:szCs w:val="20"/>
                <w:color w:val="auto"/>
              </w:rPr>
            </w:pPr>
            <w:r>
              <w:rPr>
                <w:rFonts w:ascii="Arial" w:cs="Arial" w:eastAsia="Arial" w:hAnsi="Arial"/>
                <w:sz w:val="12"/>
                <w:szCs w:val="12"/>
                <w:color w:val="auto"/>
              </w:rPr>
              <w:t>New investors</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2,500,000</w:t>
            </w:r>
          </w:p>
        </w:tc>
        <w:tc>
          <w:tcPr>
            <w:tcW w:w="160" w:type="dxa"/>
            <w:vAlign w:val="bottom"/>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2.4</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40,000,000</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16.00</w:t>
            </w:r>
          </w:p>
        </w:tc>
        <w:tc>
          <w:tcPr>
            <w:tcW w:w="120" w:type="dxa"/>
            <w:vAlign w:val="bottom"/>
          </w:tcPr>
          <w:p>
            <w:pPr>
              <w:spacing w:after="0"/>
              <w:rPr>
                <w:sz w:val="11"/>
                <w:szCs w:val="11"/>
                <w:color w:val="auto"/>
              </w:rPr>
            </w:pPr>
          </w:p>
        </w:tc>
      </w:tr>
      <w:tr>
        <w:trPr>
          <w:trHeight w:val="124"/>
        </w:trPr>
        <w:tc>
          <w:tcPr>
            <w:tcW w:w="51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105,306,526</w:t>
            </w:r>
          </w:p>
        </w:tc>
        <w:tc>
          <w:tcPr>
            <w:tcW w:w="16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3"/>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100.0%$</w:t>
            </w: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173,580,251</w:t>
            </w:r>
          </w:p>
        </w:tc>
        <w:tc>
          <w:tcPr>
            <w:tcW w:w="10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100.0%$</w:t>
            </w: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1.65</w:t>
            </w:r>
          </w:p>
        </w:tc>
        <w:tc>
          <w:tcPr>
            <w:tcW w:w="120" w:type="dxa"/>
            <w:vAlign w:val="bottom"/>
            <w:shd w:val="clear" w:color="auto" w:fill="CCEEFF"/>
          </w:tcPr>
          <w:p>
            <w:pPr>
              <w:spacing w:after="0"/>
              <w:rPr>
                <w:sz w:val="10"/>
                <w:szCs w:val="10"/>
                <w:color w:val="auto"/>
              </w:rPr>
            </w:pPr>
          </w:p>
        </w:tc>
      </w:tr>
      <w:tr>
        <w:trPr>
          <w:trHeight w:val="20"/>
        </w:trPr>
        <w:tc>
          <w:tcPr>
            <w:tcW w:w="5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Sales of shares of Class A common stock by the selling stockholders in our initial public offering will reduce the number of shares of common stock held by existing stockholders to 95,906,526, or approximately</w:t>
      </w:r>
    </w:p>
    <w:p>
      <w:pPr>
        <w:spacing w:after="0"/>
        <w:rPr>
          <w:sz w:val="20"/>
          <w:szCs w:val="20"/>
          <w:color w:val="auto"/>
        </w:rPr>
      </w:pPr>
      <w:r>
        <w:rPr>
          <w:rFonts w:ascii="Arial" w:cs="Arial" w:eastAsia="Arial" w:hAnsi="Arial"/>
          <w:sz w:val="11"/>
          <w:szCs w:val="11"/>
          <w:color w:val="auto"/>
        </w:rPr>
        <w:t>91.1% of the total shares of common stock outstanding after our initial public offering, and will increase the number of shares held by new investors to 9,400,000, or approximately 8.9% of the total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outstanding after our initial public offering. In addition, to the extent that any outstanding options to purchase common stock are exercised or RSUs are settled, new investors will experience further dilution.</w:t>
      </w:r>
    </w:p>
    <w:p>
      <w:pPr>
        <w:spacing w:after="0" w:line="141" w:lineRule="exact"/>
        <w:rPr>
          <w:sz w:val="20"/>
          <w:szCs w:val="20"/>
          <w:color w:val="auto"/>
        </w:rPr>
      </w:pPr>
    </w:p>
    <w:p>
      <w:pPr>
        <w:ind w:right="420" w:firstLine="319"/>
        <w:spacing w:after="0" w:line="239" w:lineRule="auto"/>
        <w:rPr>
          <w:sz w:val="20"/>
          <w:szCs w:val="20"/>
          <w:color w:val="auto"/>
        </w:rPr>
      </w:pPr>
      <w:r>
        <w:rPr>
          <w:rFonts w:ascii="Arial" w:cs="Arial" w:eastAsia="Arial" w:hAnsi="Arial"/>
          <w:sz w:val="12"/>
          <w:szCs w:val="12"/>
          <w:color w:val="auto"/>
        </w:rPr>
        <w:t>After giving effect to the sale of shares in this offering by us and the selling stockholders, if the underwriters exercise their option to purchase additional shares of Class A common stock from us and the selling stockholders in full, our existing stockholders would own 89.8% and our new investors would own 10.2% of the total number of shares of our common stock outstanding upon the closing of this offering.</w:t>
      </w:r>
    </w:p>
    <w:p>
      <w:pPr>
        <w:spacing w:after="0" w:line="139" w:lineRule="exact"/>
        <w:rPr>
          <w:sz w:val="20"/>
          <w:szCs w:val="20"/>
          <w:color w:val="auto"/>
        </w:rPr>
      </w:pPr>
    </w:p>
    <w:p>
      <w:pPr>
        <w:ind w:right="120" w:firstLine="323"/>
        <w:spacing w:after="0" w:line="237" w:lineRule="auto"/>
        <w:rPr>
          <w:sz w:val="20"/>
          <w:szCs w:val="20"/>
          <w:color w:val="auto"/>
        </w:rPr>
      </w:pPr>
      <w:r>
        <w:rPr>
          <w:rFonts w:ascii="Arial" w:cs="Arial" w:eastAsia="Arial" w:hAnsi="Arial"/>
          <w:sz w:val="12"/>
          <w:szCs w:val="12"/>
          <w:color w:val="auto"/>
        </w:rPr>
        <w:t>The number of shares of our Class A common stock and Class B common stock that will be outstanding after this offering is based on 74,645,294 shares of our Class A common stock outstanding and 28,161,232 shares of our Class B common stock outstanding, in each case, as of June 30, 2017 (assuming the automatic conversion of all outstanding shares of our preferred stock into an aggregate of 60,564,678 shares of Class A common stock upon the closing of this offering), and excludes:</w:t>
      </w:r>
    </w:p>
    <w:p>
      <w:pPr>
        <w:spacing w:after="0" w:line="141" w:lineRule="exact"/>
        <w:rPr>
          <w:sz w:val="20"/>
          <w:szCs w:val="20"/>
          <w:color w:val="auto"/>
        </w:rPr>
      </w:pPr>
    </w:p>
    <w:p>
      <w:pPr>
        <w:ind w:left="720" w:right="60" w:hanging="368"/>
        <w:spacing w:after="0" w:line="239" w:lineRule="auto"/>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1,737,056 shares of Class A common stock issuable upon the exercise of options outstanding as of June 30, 2017 with a weighted-average exercise price of $1.65 per share and 3,474,112 shares of Class B common stock issuable upon the exercise of options outstanding as of June 30, 2017 with a weighted-average exercise price of $1.65 per share;</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789,934 shares of Class A common stock and 1,579,868 shares of Class B common stock issuable upon the vesting and settlement of RSUs outstanding as of June 30, 2017; and</w:t>
      </w:r>
    </w:p>
    <w:p>
      <w:pPr>
        <w:spacing w:after="0" w:line="132" w:lineRule="exact"/>
        <w:rPr>
          <w:rFonts w:ascii="Arial" w:cs="Arial" w:eastAsia="Arial" w:hAnsi="Arial"/>
          <w:sz w:val="12"/>
          <w:szCs w:val="12"/>
          <w:color w:val="auto"/>
        </w:rPr>
      </w:pPr>
    </w:p>
    <w:p>
      <w:pPr>
        <w:ind w:left="720" w:hanging="368"/>
        <w:spacing w:after="0" w:line="237" w:lineRule="auto"/>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8,457,912 shares of Class A common stock reserved for future issuance under our equity compensation plans, consisting of (i) 657,912 shares of Class A common stock reserved for future issuance under our Amended and Restated 2015 Equity Incentive Plan, as amended, or the 2015 Plan, as of June 30, 2017, plus (ii) 7,800,000 additional shares of Class A common stock reserved for future issuance under our Omnibus Incentive Compensation Plan, or our 2017 Plan, which will become effective upon the closing of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Upon the closing of this offering, any remaining shares available for issuance under our 2015 Plan will be added to the shares of our Class A common stock reserved for issuance under our 2017 Plan, and we will cease granting awards under the 2015 Plan. In addition, shares of Class A common stock and shares of Class B common stock subject to outstanding grants under our 2015 Plan as of the effective date of our 2017 Plan that terminate, expire, or are cancelled, forfeited, exchanged, or surrendered on or after the effective date of our 2017 Plan without having been exercised, vested, or paid prior to the effective date of the 2017 Plan, including shares tendered or withheld to satisfy tax withholding obligations with respect to outstanding grants under the 2015 Plan, will be added to the shares of Class A common stock reserved for issuance under our 2017 Plan. See the section titled "Executive Compensation — Employee Benefits and Stock Plans" for additional information.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42" w:right="35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SELECTED CONSOLIDATED FINANCIAL AND OTHER DATA</w:t>
      </w:r>
    </w:p>
    <w:p>
      <w:pPr>
        <w:spacing w:after="0" w:line="155" w:lineRule="exact"/>
        <w:rPr>
          <w:sz w:val="20"/>
          <w:szCs w:val="20"/>
          <w:color w:val="auto"/>
        </w:rPr>
      </w:pPr>
    </w:p>
    <w:p>
      <w:pPr>
        <w:ind w:right="80" w:firstLine="326"/>
        <w:spacing w:after="0" w:line="236" w:lineRule="auto"/>
        <w:rPr>
          <w:sz w:val="20"/>
          <w:szCs w:val="20"/>
          <w:color w:val="auto"/>
        </w:rPr>
      </w:pPr>
      <w:r>
        <w:rPr>
          <w:rFonts w:ascii="Arial" w:cs="Arial" w:eastAsia="Arial" w:hAnsi="Arial"/>
          <w:sz w:val="12"/>
          <w:szCs w:val="12"/>
          <w:color w:val="auto"/>
        </w:rPr>
        <w:t>We derived the summary consolidated statements of operations data for the years ended December 31, 2015 and 2016 and the consolidated balance sheet data as of December 31, 2015 and 2016 from our audited consolidated financial statements included elsewhere in this prospectus. We derived the summary consolidated statements of operations data for the six months ended June 30, 2016 and 2017 and the consolidated balance sheet data as of June 30, 2017 from our unaudited interim consolidated financial statements included elsewhere in this prospectus. The unaudited interim consolidated financial statements were prepared on a basis consistent with our annual financial statements and include, in the opinion of management, all adjustments, consisting only of normal recurring adjustments, necessary for the fair presentation of the financial information contained in those statements. Our historical results are not necessarily indicative of the results that may be expected in the future, and our interim results are not necessarily indicative of the results to be expected for the full year or any other period. You should read the summary consolidated financial data set forth below in conjunction with the section titled "Management's Discussion and Analysis of Financial Condition and Results of Operations" and our consolidated financial statements, the accompanying notes, and other financial information included elsewhere in this prospectus.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left="361"/>
              <w:spacing w:after="0"/>
              <w:rPr>
                <w:sz w:val="20"/>
                <w:szCs w:val="20"/>
                <w:color w:val="auto"/>
              </w:rPr>
            </w:pPr>
            <w:r>
              <w:rPr>
                <w:rFonts w:ascii="Arial" w:cs="Arial" w:eastAsia="Arial" w:hAnsi="Arial"/>
                <w:sz w:val="12"/>
                <w:szCs w:val="12"/>
                <w:color w:val="auto"/>
                <w:w w:val="97"/>
              </w:rPr>
              <w:t>Year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6"/>
          </w:tcPr>
          <w:p>
            <w:pPr>
              <w:jc w:val="center"/>
              <w:ind w:right="1300"/>
              <w:spacing w:after="0"/>
              <w:rPr>
                <w:sz w:val="20"/>
                <w:szCs w:val="20"/>
                <w:color w:val="auto"/>
              </w:rPr>
            </w:pPr>
            <w:r>
              <w:rPr>
                <w:rFonts w:ascii="Arial" w:cs="Arial" w:eastAsia="Arial" w:hAnsi="Arial"/>
                <w:sz w:val="12"/>
                <w:szCs w:val="12"/>
                <w:color w:val="auto"/>
                <w:w w:val="96"/>
              </w:rPr>
              <w:t>Six Months Ended</w:t>
            </w: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center"/>
              <w:ind w:right="1"/>
              <w:spacing w:after="0" w:line="133" w:lineRule="exact"/>
              <w:rPr>
                <w:sz w:val="20"/>
                <w:szCs w:val="20"/>
                <w:color w:val="auto"/>
              </w:rPr>
            </w:pPr>
            <w:r>
              <w:rPr>
                <w:rFonts w:ascii="Arial" w:cs="Arial" w:eastAsia="Arial" w:hAnsi="Arial"/>
                <w:sz w:val="12"/>
                <w:szCs w:val="12"/>
                <w:color w:val="auto"/>
                <w:w w:val="98"/>
              </w:rPr>
              <w:t>December 31,</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341"/>
              <w:spacing w:after="0" w:line="133" w:lineRule="exact"/>
              <w:rPr>
                <w:sz w:val="20"/>
                <w:szCs w:val="20"/>
                <w:color w:val="auto"/>
              </w:rPr>
            </w:pPr>
            <w:r>
              <w:rPr>
                <w:rFonts w:ascii="Arial" w:cs="Arial" w:eastAsia="Arial" w:hAnsi="Arial"/>
                <w:sz w:val="12"/>
                <w:szCs w:val="12"/>
                <w:color w:val="auto"/>
                <w:w w:val="99"/>
              </w:rPr>
              <w:t>June 30,</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w w:val="97"/>
              </w:rPr>
              <w:t>2016</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color w:val="auto"/>
                <w:w w:val="89"/>
              </w:rPr>
              <w:t>2017</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10"/>
          </w:tcPr>
          <w:p>
            <w:pPr>
              <w:jc w:val="center"/>
              <w:ind w:left="341"/>
              <w:spacing w:after="0"/>
              <w:rPr>
                <w:sz w:val="20"/>
                <w:szCs w:val="20"/>
                <w:color w:val="auto"/>
              </w:rPr>
            </w:pPr>
            <w:r>
              <w:rPr>
                <w:rFonts w:ascii="Arial" w:cs="Arial" w:eastAsia="Arial" w:hAnsi="Arial"/>
                <w:sz w:val="12"/>
                <w:szCs w:val="12"/>
                <w:color w:val="auto"/>
                <w:w w:val="97"/>
              </w:rPr>
              <w:t>(in thousands, except share and per share data)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Consolidated Statements of Operations Data:</w:t>
            </w: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Revenue:</w:t>
            </w:r>
          </w:p>
        </w:tc>
        <w:tc>
          <w:tcPr>
            <w:tcW w:w="2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Marketplace subscription</w:t>
            </w:r>
          </w:p>
        </w:tc>
        <w:tc>
          <w:tcPr>
            <w:tcW w:w="22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75,142</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171,302</w:t>
            </w:r>
          </w:p>
        </w:tc>
        <w:tc>
          <w:tcPr>
            <w:tcW w:w="3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71,638</w:t>
            </w:r>
          </w:p>
        </w:tc>
        <w:tc>
          <w:tcPr>
            <w:tcW w:w="4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127,952</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Arial" w:cs="Arial" w:eastAsia="Arial" w:hAnsi="Arial"/>
                <w:sz w:val="12"/>
                <w:szCs w:val="12"/>
                <w:color w:val="auto"/>
              </w:rPr>
              <w:t>Advertising and other</w:t>
            </w:r>
          </w:p>
        </w:tc>
        <w:tc>
          <w:tcPr>
            <w:tcW w:w="2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23,446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26,839</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12,603</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15,323</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5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revenue</w:t>
            </w:r>
          </w:p>
        </w:tc>
        <w:tc>
          <w:tcPr>
            <w:tcW w:w="2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98,588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198,141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84,241</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143,275</w:t>
            </w:r>
          </w:p>
        </w:tc>
        <w:tc>
          <w:tcPr>
            <w:tcW w:w="100" w:type="dxa"/>
            <w:vAlign w:val="bottom"/>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ind w:left="1140"/>
              <w:spacing w:after="0" w:line="162" w:lineRule="exact"/>
              <w:rPr>
                <w:sz w:val="20"/>
                <w:szCs w:val="20"/>
                <w:color w:val="auto"/>
              </w:rPr>
            </w:pPr>
            <w:r>
              <w:rPr>
                <w:rFonts w:ascii="Arial" w:cs="Arial" w:eastAsia="Arial" w:hAnsi="Arial"/>
                <w:sz w:val="11"/>
                <w:szCs w:val="11"/>
                <w:color w:val="auto"/>
              </w:rPr>
              <w:t>Cost of revenue</w:t>
            </w:r>
            <w:r>
              <w:rPr>
                <w:rFonts w:ascii="Arial" w:cs="Arial" w:eastAsia="Arial" w:hAnsi="Arial"/>
                <w:sz w:val="18"/>
                <w:szCs w:val="18"/>
                <w:color w:val="auto"/>
                <w:vertAlign w:val="superscript"/>
              </w:rPr>
              <w:t>(1)</w:t>
            </w:r>
          </w:p>
        </w:tc>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9,575</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3,819</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7,647</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5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Gross profit</w:t>
            </w:r>
          </w:p>
        </w:tc>
        <w:tc>
          <w:tcPr>
            <w:tcW w:w="20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94,354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188,566</w:t>
            </w:r>
          </w:p>
        </w:tc>
        <w:tc>
          <w:tcPr>
            <w:tcW w:w="1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80,422</w:t>
            </w:r>
          </w:p>
        </w:tc>
        <w:tc>
          <w:tcPr>
            <w:tcW w:w="1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135,628</w:t>
            </w:r>
          </w:p>
        </w:tc>
        <w:tc>
          <w:tcPr>
            <w:tcW w:w="100" w:type="dxa"/>
            <w:vAlign w:val="bottom"/>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6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Operating expenses:</w:t>
            </w: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Sales and marketing</w:t>
            </w: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81,877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154,125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68,313</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104,604</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Arial" w:cs="Arial" w:eastAsia="Arial" w:hAnsi="Arial"/>
                <w:sz w:val="12"/>
                <w:szCs w:val="12"/>
                <w:color w:val="auto"/>
              </w:rPr>
              <w:t>Product, technology, and development</w:t>
            </w:r>
          </w:p>
        </w:tc>
        <w:tc>
          <w:tcPr>
            <w:tcW w:w="2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8,235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11,453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5,150</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8,357</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General and administrative</w:t>
            </w: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12,783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5,618</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9,092</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Arial" w:cs="Arial" w:eastAsia="Arial" w:hAnsi="Arial"/>
                <w:sz w:val="12"/>
                <w:szCs w:val="12"/>
                <w:color w:val="auto"/>
              </w:rPr>
              <w:t>Depreciation and amortization</w:t>
            </w:r>
          </w:p>
        </w:tc>
        <w:tc>
          <w:tcPr>
            <w:tcW w:w="2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969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1,634</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633</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1,196</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5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operating expenses</w:t>
            </w:r>
          </w:p>
        </w:tc>
        <w:tc>
          <w:tcPr>
            <w:tcW w:w="20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96,882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179,995</w:t>
            </w:r>
          </w:p>
        </w:tc>
        <w:tc>
          <w:tcPr>
            <w:tcW w:w="1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79,714</w:t>
            </w:r>
          </w:p>
        </w:tc>
        <w:tc>
          <w:tcPr>
            <w:tcW w:w="1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123,249</w:t>
            </w:r>
          </w:p>
        </w:tc>
        <w:tc>
          <w:tcPr>
            <w:tcW w:w="100" w:type="dxa"/>
            <w:vAlign w:val="bottom"/>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6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(Loss) income from operations</w:t>
            </w: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(2,528)</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8,571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2"/>
                <w:szCs w:val="12"/>
                <w:color w:val="auto"/>
              </w:rPr>
              <w:t>708</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12,379</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(expense) income, net</w:t>
            </w: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1140"/>
              <w:spacing w:after="0"/>
              <w:rPr>
                <w:sz w:val="20"/>
                <w:szCs w:val="20"/>
                <w:color w:val="auto"/>
              </w:rPr>
            </w:pPr>
            <w:r>
              <w:rPr>
                <w:rFonts w:ascii="Arial" w:cs="Arial" w:eastAsia="Arial" w:hAnsi="Arial"/>
                <w:sz w:val="12"/>
                <w:szCs w:val="12"/>
                <w:color w:val="auto"/>
              </w:rPr>
              <w:t>(Loss) income before income taxes</w:t>
            </w: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60" w:type="dxa"/>
            <w:vAlign w:val="bottom"/>
            <w:gridSpan w:val="2"/>
            <w:vMerge w:val="continue"/>
          </w:tcPr>
          <w:p>
            <w:pPr>
              <w:spacing w:after="0"/>
              <w:rPr>
                <w:sz w:val="10"/>
                <w:szCs w:val="10"/>
                <w:color w:val="auto"/>
              </w:rPr>
            </w:pP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(2,540)</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8,945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2"/>
                <w:szCs w:val="12"/>
                <w:color w:val="auto"/>
              </w:rPr>
              <w:t>861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12,596</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(Benefit from) provision for income taxes</w:t>
            </w:r>
          </w:p>
        </w:tc>
        <w:tc>
          <w:tcPr>
            <w:tcW w:w="2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(904)</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2,448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4,043</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1140"/>
              <w:spacing w:after="0"/>
              <w:rPr>
                <w:sz w:val="20"/>
                <w:szCs w:val="20"/>
                <w:color w:val="auto"/>
              </w:rPr>
            </w:pPr>
            <w:r>
              <w:rPr>
                <w:rFonts w:ascii="Arial" w:cs="Arial" w:eastAsia="Arial" w:hAnsi="Arial"/>
                <w:sz w:val="12"/>
                <w:szCs w:val="12"/>
                <w:color w:val="auto"/>
              </w:rPr>
              <w:t>Net (loss) income</w:t>
            </w: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60" w:type="dxa"/>
            <w:vAlign w:val="bottom"/>
            <w:gridSpan w:val="2"/>
            <w:vMerge w:val="continue"/>
          </w:tcPr>
          <w:p>
            <w:pPr>
              <w:spacing w:after="0"/>
              <w:rPr>
                <w:sz w:val="11"/>
                <w:szCs w:val="11"/>
                <w:color w:val="auto"/>
              </w:rPr>
            </w:pPr>
          </w:p>
        </w:tc>
        <w:tc>
          <w:tcPr>
            <w:tcW w:w="22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(1,636)</w:t>
            </w:r>
          </w:p>
        </w:tc>
        <w:tc>
          <w:tcPr>
            <w:tcW w:w="36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6,497</w:t>
            </w:r>
          </w:p>
        </w:tc>
        <w:tc>
          <w:tcPr>
            <w:tcW w:w="320" w:type="dxa"/>
            <w:vAlign w:val="bottom"/>
            <w:gridSpan w:val="2"/>
          </w:tcPr>
          <w:p>
            <w:pPr>
              <w:jc w:val="center"/>
              <w:ind w:right="40"/>
              <w:spacing w:after="0" w:line="12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4" w:lineRule="exact"/>
              <w:rPr>
                <w:sz w:val="20"/>
                <w:szCs w:val="20"/>
                <w:color w:val="auto"/>
              </w:rPr>
            </w:pPr>
            <w:r>
              <w:rPr>
                <w:rFonts w:ascii="Arial" w:cs="Arial" w:eastAsia="Arial" w:hAnsi="Arial"/>
                <w:sz w:val="12"/>
                <w:szCs w:val="12"/>
                <w:color w:val="auto"/>
              </w:rPr>
              <w:t>521</w:t>
            </w:r>
          </w:p>
        </w:tc>
        <w:tc>
          <w:tcPr>
            <w:tcW w:w="460" w:type="dxa"/>
            <w:vAlign w:val="bottom"/>
            <w:gridSpan w:val="2"/>
          </w:tcPr>
          <w:p>
            <w:pPr>
              <w:jc w:val="center"/>
              <w:ind w:right="180"/>
              <w:spacing w:after="0" w:line="124"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8,553</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tcPr>
          <w:p>
            <w:pPr>
              <w:jc w:val="right"/>
              <w:ind w:right="821"/>
              <w:spacing w:after="0"/>
              <w:rPr>
                <w:sz w:val="20"/>
                <w:szCs w:val="20"/>
                <w:color w:val="auto"/>
              </w:rPr>
            </w:pPr>
            <w:r>
              <w:rPr>
                <w:rFonts w:ascii="Arial" w:cs="Arial" w:eastAsia="Arial" w:hAnsi="Arial"/>
                <w:sz w:val="12"/>
                <w:szCs w:val="12"/>
                <w:color w:val="auto"/>
              </w:rPr>
              <w:t>54</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20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83"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 income per share attributable to common stockholders, basic and diluted:</w:t>
            </w:r>
            <w:r>
              <w:rPr>
                <w:rFonts w:ascii="Arial" w:cs="Arial" w:eastAsia="Arial" w:hAnsi="Arial"/>
                <w:sz w:val="19"/>
                <w:szCs w:val="19"/>
                <w:color w:val="auto"/>
                <w:vertAlign w:val="superscript"/>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5"/>
        </w:trPr>
        <w:tc>
          <w:tcPr>
            <w:tcW w:w="5800" w:type="dxa"/>
            <w:vAlign w:val="bottom"/>
            <w:gridSpan w:val="2"/>
          </w:tcPr>
          <w:p>
            <w:pPr>
              <w:spacing w:after="0" w:line="135" w:lineRule="exact"/>
              <w:rPr>
                <w:sz w:val="20"/>
                <w:szCs w:val="20"/>
                <w:color w:val="auto"/>
              </w:rPr>
            </w:pPr>
            <w:r>
              <w:rPr>
                <w:rFonts w:ascii="Arial" w:cs="Arial" w:eastAsia="Arial" w:hAnsi="Arial"/>
                <w:sz w:val="12"/>
                <w:szCs w:val="12"/>
                <w:color w:val="auto"/>
              </w:rPr>
              <w:t>Basic</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(0.41)</w:t>
            </w:r>
          </w:p>
        </w:tc>
        <w:tc>
          <w:tcPr>
            <w:tcW w:w="1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(0.58)</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0.01</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tcPr>
          <w:p>
            <w:pPr>
              <w:spacing w:after="0"/>
              <w:rPr>
                <w:sz w:val="11"/>
                <w:szCs w:val="11"/>
                <w:color w:val="auto"/>
              </w:rPr>
            </w:pPr>
          </w:p>
        </w:tc>
      </w:tr>
      <w:tr>
        <w:trPr>
          <w:trHeight w:val="27"/>
        </w:trPr>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5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(0.41)</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(0.58)</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spacing w:after="0"/>
              <w:rPr>
                <w:sz w:val="12"/>
                <w:szCs w:val="12"/>
                <w:color w:val="auto"/>
              </w:rPr>
            </w:pP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1"/>
                <w:szCs w:val="11"/>
                <w:color w:val="auto"/>
              </w:rPr>
              <w:t>Weighted-average shares used to compute net (loss) income per share attributable to common stockholders:</w:t>
            </w:r>
            <w:r>
              <w:rPr>
                <w:rFonts w:ascii="Arial" w:cs="Arial" w:eastAsia="Arial" w:hAnsi="Arial"/>
                <w:sz w:val="18"/>
                <w:szCs w:val="18"/>
                <w:color w:val="auto"/>
                <w:vertAlign w:val="superscript"/>
              </w:rPr>
              <w:t>(2)</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5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Basic</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43,141,236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44,138,922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44,651,235</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42,122,339</w:t>
            </w:r>
          </w:p>
        </w:tc>
        <w:tc>
          <w:tcPr>
            <w:tcW w:w="100" w:type="dxa"/>
            <w:vAlign w:val="bottom"/>
            <w:shd w:val="clear" w:color="auto" w:fill="CCEEFF"/>
          </w:tcPr>
          <w:p>
            <w:pPr>
              <w:spacing w:after="0"/>
              <w:rPr>
                <w:sz w:val="11"/>
                <w:szCs w:val="11"/>
                <w:color w:val="auto"/>
              </w:rPr>
            </w:pPr>
          </w:p>
        </w:tc>
      </w:tr>
      <w:tr>
        <w:trPr>
          <w:trHeight w:val="135"/>
        </w:trPr>
        <w:tc>
          <w:tcPr>
            <w:tcW w:w="5800" w:type="dxa"/>
            <w:vAlign w:val="bottom"/>
            <w:gridSpan w:val="2"/>
          </w:tcPr>
          <w:p>
            <w:pPr>
              <w:spacing w:after="0" w:line="135"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43,141,236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44,138,922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w w:val="99"/>
              </w:rPr>
              <w:t>48,026,295</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46,182,359</w:t>
            </w:r>
          </w:p>
        </w:tc>
        <w:tc>
          <w:tcPr>
            <w:tcW w:w="100" w:type="dxa"/>
            <w:vAlign w:val="bottom"/>
          </w:tcPr>
          <w:p>
            <w:pPr>
              <w:spacing w:after="0"/>
              <w:rPr>
                <w:sz w:val="11"/>
                <w:szCs w:val="11"/>
                <w:color w:val="auto"/>
              </w:rPr>
            </w:pPr>
          </w:p>
        </w:tc>
      </w:tr>
      <w:tr>
        <w:trPr>
          <w:trHeight w:val="162"/>
        </w:trPr>
        <w:tc>
          <w:tcPr>
            <w:tcW w:w="58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Pro forma net (loss) income per share attributable to common stockholders:</w:t>
            </w:r>
            <w:r>
              <w:rPr>
                <w:rFonts w:ascii="Arial" w:cs="Arial" w:eastAsia="Arial" w:hAnsi="Arial"/>
                <w:sz w:val="18"/>
                <w:szCs w:val="18"/>
                <w:color w:val="auto"/>
                <w:vertAlign w:val="superscript"/>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5"/>
        </w:trPr>
        <w:tc>
          <w:tcPr>
            <w:tcW w:w="5800" w:type="dxa"/>
            <w:vAlign w:val="bottom"/>
            <w:gridSpan w:val="2"/>
          </w:tcPr>
          <w:p>
            <w:pPr>
              <w:spacing w:after="0" w:line="135" w:lineRule="exact"/>
              <w:rPr>
                <w:sz w:val="20"/>
                <w:szCs w:val="20"/>
                <w:color w:val="auto"/>
              </w:rPr>
            </w:pPr>
            <w:r>
              <w:rPr>
                <w:rFonts w:ascii="Arial" w:cs="Arial" w:eastAsia="Arial" w:hAnsi="Arial"/>
                <w:sz w:val="12"/>
                <w:szCs w:val="12"/>
                <w:color w:val="auto"/>
              </w:rPr>
              <w:t>Basic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tcPr>
          <w:p>
            <w:pPr>
              <w:spacing w:after="0"/>
              <w:rPr>
                <w:sz w:val="11"/>
                <w:szCs w:val="11"/>
                <w:color w:val="auto"/>
              </w:rPr>
            </w:pPr>
          </w:p>
        </w:tc>
      </w:tr>
      <w:tr>
        <w:trPr>
          <w:trHeight w:val="27"/>
        </w:trPr>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5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spacing w:after="0"/>
              <w:rPr>
                <w:sz w:val="12"/>
                <w:szCs w:val="12"/>
                <w:color w:val="auto"/>
              </w:rPr>
            </w:pPr>
          </w:p>
        </w:tc>
      </w:tr>
      <w:tr>
        <w:trPr>
          <w:trHeight w:val="137"/>
        </w:trPr>
        <w:tc>
          <w:tcPr>
            <w:tcW w:w="5800" w:type="dxa"/>
            <w:vAlign w:val="bottom"/>
            <w:gridSpan w:val="2"/>
          </w:tcPr>
          <w:p>
            <w:pPr>
              <w:spacing w:after="0" w:line="137" w:lineRule="exact"/>
              <w:rPr>
                <w:sz w:val="20"/>
                <w:szCs w:val="20"/>
                <w:color w:val="auto"/>
              </w:rPr>
            </w:pPr>
            <w:r>
              <w:rPr>
                <w:rFonts w:ascii="Arial" w:cs="Arial" w:eastAsia="Arial" w:hAnsi="Arial"/>
                <w:sz w:val="12"/>
                <w:szCs w:val="12"/>
                <w:color w:val="auto"/>
              </w:rPr>
              <w:t>Pro forma weighted-average shares used to compute pro forma net (loss) income per share attributable to</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800" w:type="dxa"/>
            <w:vAlign w:val="bottom"/>
            <w:gridSpan w:val="2"/>
          </w:tcPr>
          <w:p>
            <w:pPr>
              <w:ind w:left="120"/>
              <w:spacing w:after="0" w:line="160" w:lineRule="exact"/>
              <w:rPr>
                <w:sz w:val="20"/>
                <w:szCs w:val="20"/>
                <w:color w:val="auto"/>
              </w:rPr>
            </w:pPr>
            <w:r>
              <w:rPr>
                <w:rFonts w:ascii="Arial" w:cs="Arial" w:eastAsia="Arial" w:hAnsi="Arial"/>
                <w:sz w:val="11"/>
                <w:szCs w:val="11"/>
                <w:color w:val="auto"/>
              </w:rPr>
              <w:t>common stockholders:</w:t>
            </w:r>
            <w:r>
              <w:rPr>
                <w:rFonts w:ascii="Arial" w:cs="Arial" w:eastAsia="Arial" w:hAnsi="Arial"/>
                <w:sz w:val="18"/>
                <w:szCs w:val="18"/>
                <w:color w:val="auto"/>
                <w:vertAlign w:val="superscript"/>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Basic</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5"/>
              </w:rPr>
              <w:t>104,703,600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5"/>
              </w:rPr>
              <w:t>102,687,017</w:t>
            </w:r>
          </w:p>
        </w:tc>
        <w:tc>
          <w:tcPr>
            <w:tcW w:w="100" w:type="dxa"/>
            <w:vAlign w:val="bottom"/>
            <w:shd w:val="clear" w:color="auto" w:fill="CCEEFF"/>
          </w:tcPr>
          <w:p>
            <w:pPr>
              <w:spacing w:after="0"/>
              <w:rPr>
                <w:sz w:val="11"/>
                <w:szCs w:val="11"/>
                <w:color w:val="auto"/>
              </w:rPr>
            </w:pPr>
          </w:p>
        </w:tc>
      </w:tr>
      <w:tr>
        <w:trPr>
          <w:trHeight w:val="135"/>
        </w:trPr>
        <w:tc>
          <w:tcPr>
            <w:tcW w:w="5800" w:type="dxa"/>
            <w:vAlign w:val="bottom"/>
            <w:gridSpan w:val="2"/>
          </w:tcPr>
          <w:p>
            <w:pPr>
              <w:spacing w:after="0" w:line="135"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w w:val="95"/>
              </w:rPr>
              <w:t>104,703,600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w w:val="95"/>
              </w:rPr>
              <w:t>106,747,037</w:t>
            </w:r>
          </w:p>
        </w:tc>
        <w:tc>
          <w:tcPr>
            <w:tcW w:w="100" w:type="dxa"/>
            <w:vAlign w:val="bottom"/>
          </w:tcPr>
          <w:p>
            <w:pPr>
              <w:spacing w:after="0"/>
              <w:rPr>
                <w:sz w:val="11"/>
                <w:szCs w:val="11"/>
                <w:color w:val="auto"/>
              </w:rPr>
            </w:pPr>
          </w:p>
        </w:tc>
      </w:tr>
      <w:tr>
        <w:trPr>
          <w:trHeight w:val="135"/>
        </w:trPr>
        <w:tc>
          <w:tcPr>
            <w:tcW w:w="5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Other Financial Information: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34"/>
        </w:trPr>
        <w:tc>
          <w:tcPr>
            <w:tcW w:w="5800" w:type="dxa"/>
            <w:vAlign w:val="bottom"/>
            <w:gridSpan w:val="2"/>
          </w:tcPr>
          <w:p>
            <w:pPr>
              <w:ind w:left="240"/>
              <w:spacing w:after="0"/>
              <w:rPr>
                <w:sz w:val="20"/>
                <w:szCs w:val="20"/>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(366)</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10,965</w:t>
            </w:r>
          </w:p>
        </w:tc>
        <w:tc>
          <w:tcPr>
            <w:tcW w:w="6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1,692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14,116</w:t>
            </w:r>
          </w:p>
        </w:tc>
        <w:tc>
          <w:tcPr>
            <w:tcW w:w="100" w:type="dxa"/>
            <w:vAlign w:val="bottom"/>
          </w:tcPr>
          <w:p>
            <w:pPr>
              <w:spacing w:after="0"/>
              <w:rPr>
                <w:sz w:val="20"/>
                <w:szCs w:val="20"/>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left="1500" w:hanging="360"/>
        <w:spacing w:after="0"/>
        <w:tabs>
          <w:tab w:leader="none" w:pos="1500"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Includes depreciation and amortization expense for the years ended December 31, 2015 and 2016 and for the six months ended June 30, 2016 and 2017 of $153, $438, $203, and $391, respectively.</w:t>
      </w:r>
    </w:p>
    <w:p>
      <w:pPr>
        <w:spacing w:after="0" w:line="101" w:lineRule="exact"/>
        <w:rPr>
          <w:rFonts w:ascii="Arial" w:cs="Arial" w:eastAsia="Arial" w:hAnsi="Arial"/>
          <w:sz w:val="14"/>
          <w:szCs w:val="14"/>
          <w:color w:val="auto"/>
          <w:vertAlign w:val="superscript"/>
        </w:rPr>
      </w:pPr>
    </w:p>
    <w:p>
      <w:pPr>
        <w:ind w:left="1500" w:right="240" w:hanging="360"/>
        <w:spacing w:after="0" w:line="193" w:lineRule="auto"/>
        <w:tabs>
          <w:tab w:leader="none" w:pos="1500"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See Note 2 of the notes to our consolidated financial statements included elsewhere in this prospectus for an explanation of the calculations of our net (loss) income per share attributable to common stockholders and pro forma net (loss) income per share attributable to common stockholders.</w:t>
      </w:r>
    </w:p>
    <w:p>
      <w:pPr>
        <w:spacing w:after="0" w:line="56"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See "— Adjusted EBITDA" below for more information and for a reconciliation of Adjusted EBITDA to net (loss) income, the most directly comparable financial measure calculated and presented in accordance with GAAP.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6"/>
          </w:tcPr>
          <w:p>
            <w:pPr>
              <w:jc w:val="right"/>
              <w:ind w:right="380"/>
              <w:spacing w:after="0"/>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3"/>
          </w:tcPr>
          <w:p>
            <w:pPr>
              <w:ind w:left="100"/>
              <w:spacing w:after="0"/>
              <w:rPr>
                <w:sz w:val="20"/>
                <w:szCs w:val="20"/>
                <w:color w:val="auto"/>
              </w:rPr>
            </w:pPr>
            <w:r>
              <w:rPr>
                <w:rFonts w:ascii="Arial" w:cs="Arial" w:eastAsia="Arial" w:hAnsi="Arial"/>
                <w:sz w:val="12"/>
                <w:szCs w:val="12"/>
                <w:color w:val="auto"/>
              </w:rPr>
              <w:t>June 30,</w:t>
            </w: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2"/>
                <w:szCs w:val="12"/>
                <w:color w:val="auto"/>
                <w:w w:val="99"/>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Consolidated Balance Sheet Data:</w:t>
            </w:r>
          </w:p>
        </w:tc>
        <w:tc>
          <w:tcPr>
            <w:tcW w:w="3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Cash, cash equivalents, and investments</w:t>
            </w:r>
          </w:p>
        </w:tc>
        <w:tc>
          <w:tcPr>
            <w:tcW w:w="35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61,363</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74,250</w:t>
            </w:r>
          </w:p>
        </w:tc>
        <w:tc>
          <w:tcPr>
            <w:tcW w:w="80" w:type="dxa"/>
            <w:vAlign w:val="bottom"/>
          </w:tcPr>
          <w:p>
            <w:pPr>
              <w:spacing w:after="0"/>
              <w:rPr>
                <w:sz w:val="11"/>
                <w:szCs w:val="11"/>
                <w:color w:val="auto"/>
              </w:rPr>
            </w:pPr>
          </w:p>
        </w:tc>
        <w:tc>
          <w:tcPr>
            <w:tcW w:w="2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81,309</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Property and equipment, net</w:t>
            </w:r>
          </w:p>
        </w:tc>
        <w:tc>
          <w:tcPr>
            <w:tcW w:w="3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7,147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12,780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15,897</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Working capital</w:t>
            </w: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52,751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56,457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61,534</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 assets</w:t>
            </w:r>
          </w:p>
        </w:tc>
        <w:tc>
          <w:tcPr>
            <w:tcW w:w="3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77,781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100,331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115,606</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Total liabilities</w:t>
            </w: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20,534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35,605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41,852</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Convertible preferred stock</w:t>
            </w:r>
          </w:p>
        </w:tc>
        <w:tc>
          <w:tcPr>
            <w:tcW w:w="3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73,378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132,698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132,698</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2"/>
        </w:trPr>
        <w:tc>
          <w:tcPr>
            <w:tcW w:w="4460" w:type="dxa"/>
            <w:vAlign w:val="bottom"/>
            <w:gridSpan w:val="2"/>
          </w:tcPr>
          <w:p>
            <w:pPr>
              <w:ind w:left="1140"/>
              <w:spacing w:after="0"/>
              <w:rPr>
                <w:sz w:val="20"/>
                <w:szCs w:val="20"/>
                <w:color w:val="auto"/>
              </w:rPr>
            </w:pPr>
            <w:r>
              <w:rPr>
                <w:rFonts w:ascii="Arial" w:cs="Arial" w:eastAsia="Arial" w:hAnsi="Arial"/>
                <w:sz w:val="12"/>
                <w:szCs w:val="12"/>
                <w:color w:val="auto"/>
              </w:rPr>
              <w:t>Total stockholders' deficit</w:t>
            </w: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(16,131)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(67,972)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(58,944)</w:t>
            </w:r>
          </w:p>
        </w:tc>
        <w:tc>
          <w:tcPr>
            <w:tcW w:w="1140" w:type="dxa"/>
            <w:vAlign w:val="bottom"/>
          </w:tcPr>
          <w:p>
            <w:pPr>
              <w:spacing w:after="0"/>
              <w:rPr>
                <w:sz w:val="12"/>
                <w:szCs w:val="12"/>
                <w:color w:val="auto"/>
              </w:rPr>
            </w:pPr>
          </w:p>
        </w:tc>
      </w:tr>
      <w:tr>
        <w:trPr>
          <w:trHeight w:val="279"/>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40" w:type="dxa"/>
            <w:vAlign w:val="bottom"/>
          </w:tcPr>
          <w:p>
            <w:pPr>
              <w:jc w:val="right"/>
              <w:ind w:right="1941"/>
              <w:spacing w:after="0"/>
              <w:rPr>
                <w:sz w:val="20"/>
                <w:szCs w:val="20"/>
                <w:color w:val="auto"/>
              </w:rPr>
            </w:pPr>
            <w:r>
              <w:rPr>
                <w:rFonts w:ascii="Arial" w:cs="Arial" w:eastAsia="Arial" w:hAnsi="Arial"/>
                <w:sz w:val="12"/>
                <w:szCs w:val="12"/>
                <w:color w:val="auto"/>
              </w:rPr>
              <w:t>55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EBITDA</w:t>
      </w:r>
    </w:p>
    <w:p>
      <w:pPr>
        <w:spacing w:after="0" w:line="155" w:lineRule="exact"/>
        <w:rPr>
          <w:sz w:val="20"/>
          <w:szCs w:val="20"/>
          <w:color w:val="auto"/>
        </w:rPr>
      </w:pPr>
    </w:p>
    <w:p>
      <w:pPr>
        <w:ind w:right="200" w:firstLine="323"/>
        <w:spacing w:after="0" w:line="237" w:lineRule="auto"/>
        <w:rPr>
          <w:sz w:val="20"/>
          <w:szCs w:val="20"/>
          <w:color w:val="auto"/>
        </w:rPr>
      </w:pPr>
      <w:r>
        <w:rPr>
          <w:rFonts w:ascii="Arial" w:cs="Arial" w:eastAsia="Arial" w:hAnsi="Arial"/>
          <w:sz w:val="12"/>
          <w:szCs w:val="12"/>
          <w:color w:val="auto"/>
        </w:rPr>
        <w:t>To provide investors with additional information regarding our financial results, we monitor and have presented within this prospectus Adjusted EBITDA, which is a non-GAAP financial measure. This non-GAAP financial measure is not based on any standardized methodology prescribed by U.S. generally accepted accounting principles, or GAAP, and is not necessarily comparable to similarly titled measures presented by other companies.</w:t>
      </w:r>
    </w:p>
    <w:p>
      <w:pPr>
        <w:spacing w:after="0" w:line="141" w:lineRule="exact"/>
        <w:rPr>
          <w:sz w:val="20"/>
          <w:szCs w:val="20"/>
          <w:color w:val="auto"/>
        </w:rPr>
      </w:pPr>
    </w:p>
    <w:p>
      <w:pPr>
        <w:jc w:val="both"/>
        <w:ind w:right="80" w:firstLine="326"/>
        <w:spacing w:after="0" w:line="237" w:lineRule="auto"/>
        <w:rPr>
          <w:sz w:val="20"/>
          <w:szCs w:val="20"/>
          <w:color w:val="auto"/>
        </w:rPr>
      </w:pPr>
      <w:r>
        <w:rPr>
          <w:rFonts w:ascii="Arial" w:cs="Arial" w:eastAsia="Arial" w:hAnsi="Arial"/>
          <w:sz w:val="12"/>
          <w:szCs w:val="12"/>
          <w:color w:val="auto"/>
        </w:rPr>
        <w:t>We define Adjusted EBITDA as net income (loss), adjusted to exclude: depreciation and amortization, stock-based compensation expense, other expense (income), net, the (benefit from) provision for income taxes, and other one-time, non-recurring items, when applicable. We have presented Adjusted EBITDA in this prospectus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 In addition, we evaluate our Adjusted EBITDA in relation to our revenue. We refer to this as Adjusted EBITDA margin and define it as Adjusted EBITDA divided by total revenue.</w:t>
      </w:r>
    </w:p>
    <w:p>
      <w:pPr>
        <w:spacing w:after="0" w:line="139" w:lineRule="exact"/>
        <w:rPr>
          <w:sz w:val="20"/>
          <w:szCs w:val="20"/>
          <w:color w:val="auto"/>
        </w:rPr>
      </w:pPr>
    </w:p>
    <w:p>
      <w:pPr>
        <w:ind w:right="140" w:firstLine="326"/>
        <w:spacing w:after="0" w:line="239" w:lineRule="auto"/>
        <w:rPr>
          <w:sz w:val="20"/>
          <w:szCs w:val="20"/>
          <w:color w:val="auto"/>
        </w:rPr>
      </w:pPr>
      <w:r>
        <w:rPr>
          <w:rFonts w:ascii="Arial" w:cs="Arial" w:eastAsia="Arial" w:hAnsi="Arial"/>
          <w:sz w:val="12"/>
          <w:szCs w:val="12"/>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(loss), which is the most directly comparable GAAP equivalent. Some of these limitations are:</w:t>
      </w:r>
    </w:p>
    <w:p>
      <w:pPr>
        <w:spacing w:after="0" w:line="139" w:lineRule="exact"/>
        <w:rPr>
          <w:sz w:val="20"/>
          <w:szCs w:val="20"/>
          <w:color w:val="auto"/>
        </w:rPr>
      </w:pPr>
    </w:p>
    <w:p>
      <w:pPr>
        <w:ind w:left="720" w:hanging="368"/>
        <w:spacing w:after="0"/>
        <w:tabs>
          <w:tab w:leader="none" w:pos="7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Adjusted EBITDA excludes stock-based compensation expense, which will be, for the foreseeable future, a significant recurring expense for our business and an important part of our compensation strategy;</w:t>
      </w:r>
    </w:p>
    <w:p>
      <w:pPr>
        <w:spacing w:after="0" w:line="152" w:lineRule="exact"/>
        <w:rPr>
          <w:rFonts w:ascii="Arial" w:cs="Arial" w:eastAsia="Arial" w:hAnsi="Arial"/>
          <w:sz w:val="11"/>
          <w:szCs w:val="11"/>
          <w:color w:val="auto"/>
        </w:rPr>
      </w:pPr>
    </w:p>
    <w:p>
      <w:pPr>
        <w:ind w:left="720" w:hanging="368"/>
        <w:spacing w:after="0"/>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Adjusted EBITDA excludes depreciation and amortization expense and, although these are non-cash expenses, the assets being depreciated may have to be replaced in the future;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Adjusted EBITDA does not reflect interest expense, or the cash requirements necessary to service interest, which reduces cash available to us;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Adjusted EBITDA does not reflect income tax payments that reduce cash available to us;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other companies, including companies in our industry, may calculate Adjusted EBITDA differently, which reduces its usefulness as a comparative measure.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Because of these limitations, we consider, and you should consider, Adjusted EBITDA together with other operating and financial performance measures presented in accordance with GAAP.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a reconciliation of Adjusted EBITDA to net income (loss), the most directly comparable measure calculated in accordance with GAAP, for each of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tcPr>
          <w:p>
            <w:pPr>
              <w:jc w:val="center"/>
              <w:ind w:left="381"/>
              <w:spacing w:after="0"/>
              <w:rPr>
                <w:sz w:val="20"/>
                <w:szCs w:val="20"/>
                <w:color w:val="auto"/>
              </w:rPr>
            </w:pPr>
            <w:r>
              <w:rPr>
                <w:rFonts w:ascii="Arial" w:cs="Arial" w:eastAsia="Arial" w:hAnsi="Arial"/>
                <w:sz w:val="12"/>
                <w:szCs w:val="12"/>
                <w:color w:val="auto"/>
                <w:w w:val="97"/>
              </w:rPr>
              <w:t>Six Months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jc w:val="center"/>
              <w:ind w:left="341"/>
              <w:spacing w:after="0" w:line="135" w:lineRule="exact"/>
              <w:rPr>
                <w:sz w:val="20"/>
                <w:szCs w:val="20"/>
                <w:color w:val="auto"/>
              </w:rPr>
            </w:pPr>
            <w:r>
              <w:rPr>
                <w:rFonts w:ascii="Arial" w:cs="Arial" w:eastAsia="Arial" w:hAnsi="Arial"/>
                <w:sz w:val="12"/>
                <w:szCs w:val="12"/>
                <w:color w:val="auto"/>
                <w:w w:val="97"/>
              </w:rPr>
              <w:t>Year Ended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jc w:val="center"/>
              <w:ind w:left="381"/>
              <w:spacing w:after="0" w:line="135" w:lineRule="exact"/>
              <w:rPr>
                <w:sz w:val="20"/>
                <w:szCs w:val="20"/>
                <w:color w:val="auto"/>
              </w:rPr>
            </w:pPr>
            <w:r>
              <w:rPr>
                <w:rFonts w:ascii="Arial" w:cs="Arial" w:eastAsia="Arial" w:hAnsi="Arial"/>
                <w:sz w:val="12"/>
                <w:szCs w:val="12"/>
                <w:color w:val="auto"/>
                <w:w w:val="97"/>
              </w:rPr>
              <w:t>Ended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3"/>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6"/>
          </w:tcPr>
          <w:p>
            <w:pPr>
              <w:jc w:val="center"/>
              <w:ind w:right="100"/>
              <w:spacing w:after="0" w:line="133" w:lineRule="exact"/>
              <w:rPr>
                <w:sz w:val="20"/>
                <w:szCs w:val="20"/>
                <w:color w:val="auto"/>
              </w:rPr>
            </w:pPr>
            <w:r>
              <w:rPr>
                <w:rFonts w:ascii="Arial" w:cs="Arial" w:eastAsia="Arial" w:hAnsi="Arial"/>
                <w:sz w:val="12"/>
                <w:szCs w:val="12"/>
                <w:color w:val="auto"/>
                <w:w w:val="98"/>
              </w:rPr>
              <w:t>December 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jc w:val="center"/>
              <w:ind w:left="361"/>
              <w:spacing w:after="0" w:line="133" w:lineRule="exact"/>
              <w:rPr>
                <w:sz w:val="20"/>
                <w:szCs w:val="20"/>
                <w:color w:val="auto"/>
              </w:rPr>
            </w:pPr>
            <w:r>
              <w:rPr>
                <w:rFonts w:ascii="Arial" w:cs="Arial" w:eastAsia="Arial" w:hAnsi="Arial"/>
                <w:sz w:val="12"/>
                <w:szCs w:val="12"/>
                <w:color w:val="auto"/>
                <w:w w:val="95"/>
              </w:rPr>
              <w:t>June 30,</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2016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2016</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6"/>
          </w:tcPr>
          <w:p>
            <w:pPr>
              <w:jc w:val="center"/>
              <w:ind w:right="240"/>
              <w:spacing w:after="0"/>
              <w:rPr>
                <w:sz w:val="20"/>
                <w:szCs w:val="20"/>
                <w:color w:val="auto"/>
              </w:rPr>
            </w:pPr>
            <w:r>
              <w:rPr>
                <w:rFonts w:ascii="Arial" w:cs="Arial" w:eastAsia="Arial" w:hAnsi="Arial"/>
                <w:sz w:val="12"/>
                <w:szCs w:val="12"/>
                <w:color w:val="auto"/>
                <w:w w:val="97"/>
              </w:rPr>
              <w:t>(in thousands)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Reconciliation of Adjusted EBITDA:</w:t>
            </w:r>
          </w:p>
        </w:tc>
        <w:tc>
          <w:tcPr>
            <w:tcW w:w="2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Net (loss) income</w:t>
            </w:r>
          </w:p>
        </w:tc>
        <w:tc>
          <w:tcPr>
            <w:tcW w:w="25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(1,636)</w:t>
            </w:r>
          </w:p>
        </w:tc>
        <w:tc>
          <w:tcPr>
            <w:tcW w:w="38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6,497</w:t>
            </w:r>
          </w:p>
        </w:tc>
        <w:tc>
          <w:tcPr>
            <w:tcW w:w="80" w:type="dxa"/>
            <w:vAlign w:val="bottom"/>
          </w:tcPr>
          <w:p>
            <w:pPr>
              <w:spacing w:after="0"/>
              <w:rPr>
                <w:sz w:val="11"/>
                <w:szCs w:val="11"/>
                <w:color w:val="auto"/>
              </w:rPr>
            </w:pPr>
          </w:p>
        </w:tc>
        <w:tc>
          <w:tcPr>
            <w:tcW w:w="2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521</w:t>
            </w:r>
          </w:p>
        </w:tc>
        <w:tc>
          <w:tcPr>
            <w:tcW w:w="60" w:type="dxa"/>
            <w:vAlign w:val="bottom"/>
          </w:tcPr>
          <w:p>
            <w:pPr>
              <w:spacing w:after="0"/>
              <w:rPr>
                <w:sz w:val="11"/>
                <w:szCs w:val="11"/>
                <w:color w:val="auto"/>
              </w:rPr>
            </w:pPr>
          </w:p>
        </w:tc>
        <w:tc>
          <w:tcPr>
            <w:tcW w:w="38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8,553</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Depreciation and amortization</w:t>
            </w:r>
          </w:p>
        </w:tc>
        <w:tc>
          <w:tcPr>
            <w:tcW w:w="2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2,072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1,587</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Stock-based compensation expense</w:t>
            </w: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1,040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322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150</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expense (income), net</w:t>
            </w:r>
          </w:p>
        </w:tc>
        <w:tc>
          <w:tcPr>
            <w:tcW w:w="2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(374)</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(153)</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(217)</w:t>
            </w:r>
          </w:p>
        </w:tc>
        <w:tc>
          <w:tcPr>
            <w:tcW w:w="1140" w:type="dxa"/>
            <w:vAlign w:val="bottom"/>
          </w:tcPr>
          <w:p>
            <w:pPr>
              <w:spacing w:after="0"/>
              <w:rPr>
                <w:sz w:val="11"/>
                <w:szCs w:val="1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(Benefit from) provision for income taxes</w:t>
            </w: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(904)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2,448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4,043</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1"/>
        </w:trPr>
        <w:tc>
          <w:tcPr>
            <w:tcW w:w="1140" w:type="dxa"/>
            <w:vAlign w:val="bottom"/>
          </w:tcPr>
          <w:p>
            <w:pPr>
              <w:spacing w:after="0"/>
              <w:rPr>
                <w:sz w:val="11"/>
                <w:szCs w:val="11"/>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Adjusted EBITDA</w:t>
            </w:r>
          </w:p>
        </w:tc>
        <w:tc>
          <w:tcPr>
            <w:tcW w:w="25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(366)</w:t>
            </w:r>
          </w:p>
        </w:tc>
        <w:tc>
          <w:tcPr>
            <w:tcW w:w="380" w:type="dxa"/>
            <w:vAlign w:val="bottom"/>
            <w:gridSpan w:val="2"/>
            <w:shd w:val="clear" w:color="auto" w:fill="CCEEFF"/>
          </w:tcPr>
          <w:p>
            <w:pPr>
              <w:jc w:val="center"/>
              <w:ind w:right="240"/>
              <w:spacing w:after="0" w:line="124"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10,965</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center"/>
              <w:ind w:right="10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1,692</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center"/>
              <w:ind w:right="240"/>
              <w:spacing w:after="0" w:line="124" w:lineRule="exact"/>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14,116</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28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40" w:type="dxa"/>
            <w:vAlign w:val="bottom"/>
          </w:tcPr>
          <w:p>
            <w:pPr>
              <w:jc w:val="right"/>
              <w:ind w:right="941"/>
              <w:spacing w:after="0"/>
              <w:rPr>
                <w:sz w:val="20"/>
                <w:szCs w:val="20"/>
                <w:color w:val="auto"/>
              </w:rPr>
            </w:pPr>
            <w:r>
              <w:rPr>
                <w:rFonts w:ascii="Arial" w:cs="Arial" w:eastAsia="Arial" w:hAnsi="Arial"/>
                <w:sz w:val="12"/>
                <w:szCs w:val="12"/>
                <w:color w:val="auto"/>
              </w:rPr>
              <w:t>57</w:t>
            </w: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29" w:lineRule="exact"/>
        <w:rPr>
          <w:sz w:val="20"/>
          <w:szCs w:val="20"/>
          <w:color w:val="auto"/>
        </w:rPr>
      </w:pPr>
    </w:p>
    <w:p>
      <w:pPr>
        <w:ind w:firstLine="325"/>
        <w:spacing w:after="0" w:line="266"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elsewhere in this prospectus, including information with respect to our plans and strategy for our business and our performance and future success,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Securities and Exchange Commission rules. These rules require supplemental explanation and reconciliation, which is included elsewhere in this prospectus. Investors should not consider non-GAAP financial measures in isolation from or in substitution for, financial information presented in compliance with U.S. generally accepted accounting principles, or GAAP.</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55" w:lineRule="exact"/>
        <w:rPr>
          <w:sz w:val="20"/>
          <w:szCs w:val="20"/>
          <w:color w:val="auto"/>
        </w:rPr>
      </w:pPr>
    </w:p>
    <w:p>
      <w:pPr>
        <w:jc w:val="both"/>
        <w:ind w:right="60" w:firstLine="326"/>
        <w:spacing w:after="0" w:line="237" w:lineRule="auto"/>
        <w:rPr>
          <w:sz w:val="20"/>
          <w:szCs w:val="20"/>
          <w:color w:val="auto"/>
        </w:rPr>
      </w:pPr>
      <w:r>
        <w:rPr>
          <w:rFonts w:ascii="Arial" w:cs="Arial" w:eastAsia="Arial" w:hAnsi="Arial"/>
          <w:sz w:val="12"/>
          <w:szCs w:val="12"/>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third-party validation on pricing and dealer reputation as well as other information that aids them in finding "Great Deals from Great Dealers." As of June 30, 2017, we had an active dealer network of over 40,000 dealers, and our selection of over 5.4 million car listings is the largest number of car listings available on any of the major U.S. online automotive marketplaces. In addition to the United States, we operate online marketplaces in Canada, the United Kingdom, and Germany.</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Since our founding in 2006, a core principle of our marketplace has been unbiased transparency. In pursuing this principle, we have continually innovated our product offerings to bring greater transparency, trust, and efficiency to a consumer's car research and buying process, leading to higher engagement and a more informed consumer who is better prepared to purchase at the dealership. Highlights of our history of innovation and commitment to unbiased transparency include:</w:t>
      </w:r>
    </w:p>
    <w:p>
      <w:pPr>
        <w:spacing w:after="0" w:line="141" w:lineRule="exact"/>
        <w:rPr>
          <w:sz w:val="20"/>
          <w:szCs w:val="20"/>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2007, we launched the www.cargurus.com marketplace in the United States.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2010, we introduced Instant Market Value, or IMV, Deal Ratings, Price History, and Time on Site.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2011, we launched Dealer Reviews and deployed the first version of our mobile-optimized website.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2012, we established a direct-to-dealer sales model for our marketplace listing subscription products.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2013, we launched Sell My Car, a free platform which enables consumers to sell their cars in our marketplace, and new car price analysis features that provide price guidance on new cars.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2014, we launched our first international marketplace in Canada at ca.cargurus.com.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2015, we launched our second international marketplace in the United Kingdom at www.cargurus.co.uk.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right="400" w:hanging="368"/>
        <w:spacing w:after="0" w:line="239" w:lineRule="auto"/>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2016, we launched our Deal Rating Badges, which allow dealers to add Deal Rating icons on their own websites, user-generated car comparison pages to provide users side-by-side comparisons of vehicles, and a managed text and chat offering to complement our existing communication channels between consumers and dealers.</w:t>
      </w:r>
    </w:p>
    <w:p>
      <w:pPr>
        <w:spacing w:after="0" w:line="139" w:lineRule="exact"/>
        <w:rPr>
          <w:rFonts w:ascii="Arial" w:cs="Arial" w:eastAsia="Arial" w:hAnsi="Arial"/>
          <w:sz w:val="12"/>
          <w:szCs w:val="12"/>
          <w:color w:val="auto"/>
        </w:rPr>
      </w:pPr>
    </w:p>
    <w:p>
      <w:pPr>
        <w:ind w:left="720" w:right="60" w:hanging="368"/>
        <w:spacing w:after="0" w:line="239" w:lineRule="auto"/>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2017, we launched our third international marketplace in Germany at cargurus.de and we launched dealer search engine marketing, a product that helps dealers more effectively acquire prospects through paid search marketing, social media, and retargeting.</w:t>
      </w:r>
    </w:p>
    <w:p>
      <w:pPr>
        <w:spacing w:after="0" w:line="139" w:lineRule="exact"/>
        <w:rPr>
          <w:sz w:val="20"/>
          <w:szCs w:val="20"/>
          <w:color w:val="auto"/>
        </w:rPr>
      </w:pPr>
    </w:p>
    <w:p>
      <w:pPr>
        <w:jc w:val="both"/>
        <w:ind w:right="100" w:firstLine="326"/>
        <w:spacing w:after="0" w:line="237" w:lineRule="auto"/>
        <w:rPr>
          <w:sz w:val="20"/>
          <w:szCs w:val="20"/>
          <w:color w:val="auto"/>
        </w:rPr>
      </w:pPr>
      <w:r>
        <w:rPr>
          <w:rFonts w:ascii="Arial" w:cs="Arial" w:eastAsia="Arial" w:hAnsi="Arial"/>
          <w:sz w:val="12"/>
          <w:szCs w:val="12"/>
          <w:color w:val="auto"/>
        </w:rPr>
        <w:t>We generate marketplace subscription revenue from dealers through Listing and Dealer Display subscriptions, and advertising revenue from automobile manufacturers and other auto-related brand advertisers. Our rapid revenue growth and financial performance over the last several years exemplifies the strength of our marketplace. In 2016, we generated revenue of $198.1 million, a 101% increase from $98.6 million of revenue in 2015. Our revenue for the six months ended June 30, 2017 was $143.3 million, a 70% increase from $84.2 million of revenue in the six months ended June 30, 2016.</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In 2016, we generated net income of $6.5 million and our Adjusted EBITDA was $11.0 million, compared to a net loss of $1.6 million and Adjusted EBITDA of $(0.4) million in 2015. For the six months ended June 30, 2017, we generated net income of $8.6 million and our Adjusted EBITDA was $14.1 million, compared to net income of $0.5 million and Adjusted EBITDA of $1.7 million for the six months ended June 30, 2016. See "Selected Consolidated Financial and Other Data — Adjusted EBITDA" for more information regarding our use of Adjusted EBITDA and a reconciliation of Adjusted EBITDA to our net income (loss).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two reportable segments, United States and International. See Note 8 of our consolidated financial statements included elsewhere in this prospectus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Business Metrics</w:t>
      </w:r>
    </w:p>
    <w:p>
      <w:pPr>
        <w:spacing w:after="0" w:line="155" w:lineRule="exact"/>
        <w:rPr>
          <w:sz w:val="20"/>
          <w:szCs w:val="20"/>
          <w:color w:val="auto"/>
        </w:rPr>
      </w:pPr>
    </w:p>
    <w:p>
      <w:pPr>
        <w:ind w:right="140" w:firstLine="326"/>
        <w:spacing w:after="0" w:line="237" w:lineRule="auto"/>
        <w:rPr>
          <w:sz w:val="20"/>
          <w:szCs w:val="20"/>
          <w:color w:val="auto"/>
        </w:rPr>
      </w:pPr>
      <w:r>
        <w:rPr>
          <w:rFonts w:ascii="Arial" w:cs="Arial" w:eastAsia="Arial" w:hAnsi="Arial"/>
          <w:sz w:val="12"/>
          <w:szCs w:val="12"/>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International is defined as all non-U.S. markets in which we operate. International markets will likely perform differently than the U.S. market due to a variety of factors, including our operating history in the market, our rate of investment, market size, market maturity, and other dynamics unique to each country.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Monthly Unique Users</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define a monthly unique user as an individual who has visited our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IP address accesses our website during a calendar month. If an individual accesses our website using different IP addresses within a given month, the first access by each such IP address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38"/>
        </w:trPr>
        <w:tc>
          <w:tcPr>
            <w:tcW w:w="8140" w:type="dxa"/>
            <w:vAlign w:val="bottom"/>
            <w:gridSpan w:val="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8140" w:type="dxa"/>
            <w:vAlign w:val="bottom"/>
            <w:gridSpan w:val="4"/>
          </w:tcPr>
          <w:p>
            <w:pPr>
              <w:spacing w:after="0"/>
              <w:rPr>
                <w:sz w:val="20"/>
                <w:szCs w:val="20"/>
                <w:color w:val="auto"/>
              </w:rPr>
            </w:pPr>
            <w:r>
              <w:rPr>
                <w:rFonts w:ascii="Arial" w:cs="Arial" w:eastAsia="Arial" w:hAnsi="Arial"/>
                <w:sz w:val="12"/>
                <w:szCs w:val="12"/>
                <w:color w:val="auto"/>
              </w:rPr>
              <w:t>managed text and chat, and clicks to access the dealer's website and map directions to the dealership.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4"/>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2"/>
                <w:szCs w:val="12"/>
                <w:color w:val="auto"/>
                <w:w w:val="97"/>
              </w:rPr>
              <w:t>Six Months</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101"/>
              <w:spacing w:after="0" w:line="135" w:lineRule="exact"/>
              <w:rPr>
                <w:sz w:val="20"/>
                <w:szCs w:val="20"/>
                <w:color w:val="auto"/>
              </w:rPr>
            </w:pPr>
            <w:r>
              <w:rPr>
                <w:rFonts w:ascii="Arial" w:cs="Arial" w:eastAsia="Arial" w:hAnsi="Arial"/>
                <w:sz w:val="12"/>
                <w:szCs w:val="12"/>
                <w:color w:val="auto"/>
              </w:rPr>
              <w:t>Year Ended</w:t>
            </w:r>
          </w:p>
        </w:tc>
        <w:tc>
          <w:tcPr>
            <w:tcW w:w="120" w:type="dxa"/>
            <w:vAlign w:val="bottom"/>
          </w:tcPr>
          <w:p>
            <w:pPr>
              <w:spacing w:after="0"/>
              <w:rPr>
                <w:sz w:val="11"/>
                <w:szCs w:val="11"/>
                <w:color w:val="auto"/>
              </w:rPr>
            </w:pPr>
          </w:p>
        </w:tc>
        <w:tc>
          <w:tcPr>
            <w:tcW w:w="1100" w:type="dxa"/>
            <w:vAlign w:val="bottom"/>
            <w:gridSpan w:val="4"/>
          </w:tcPr>
          <w:p>
            <w:pPr>
              <w:jc w:val="center"/>
              <w:ind w:right="80"/>
              <w:spacing w:after="0" w:line="135" w:lineRule="exact"/>
              <w:rPr>
                <w:sz w:val="20"/>
                <w:szCs w:val="20"/>
                <w:color w:val="auto"/>
              </w:rPr>
            </w:pPr>
            <w:r>
              <w:rPr>
                <w:rFonts w:ascii="Arial" w:cs="Arial" w:eastAsia="Arial" w:hAnsi="Arial"/>
                <w:sz w:val="12"/>
                <w:szCs w:val="12"/>
                <w:color w:val="auto"/>
                <w:w w:val="97"/>
              </w:rPr>
              <w:t>Ended</w:t>
            </w: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41"/>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center"/>
              <w:ind w:left="1"/>
              <w:spacing w:after="0" w:line="133" w:lineRule="exact"/>
              <w:rPr>
                <w:sz w:val="20"/>
                <w:szCs w:val="20"/>
                <w:color w:val="auto"/>
              </w:rPr>
            </w:pPr>
            <w:r>
              <w:rPr>
                <w:rFonts w:ascii="Arial" w:cs="Arial" w:eastAsia="Arial" w:hAnsi="Arial"/>
                <w:sz w:val="12"/>
                <w:szCs w:val="12"/>
                <w:color w:val="auto"/>
                <w:w w:val="95"/>
              </w:rPr>
              <w:t>June 30,</w:t>
            </w:r>
          </w:p>
        </w:tc>
        <w:tc>
          <w:tcPr>
            <w:tcW w:w="120" w:type="dxa"/>
            <w:vAlign w:val="bottom"/>
          </w:tcPr>
          <w:p>
            <w:pPr>
              <w:spacing w:after="0"/>
              <w:rPr>
                <w:sz w:val="11"/>
                <w:szCs w:val="1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Average Monthly Unique Users</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2017</w:t>
            </w:r>
          </w:p>
        </w:tc>
        <w:tc>
          <w:tcPr>
            <w:tcW w:w="120" w:type="dxa"/>
            <w:vAlign w:val="bottom"/>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2"/>
                <w:szCs w:val="12"/>
                <w:color w:val="auto"/>
              </w:rPr>
              <w:t>(in thousands)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14,986</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20,120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19,510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23,089</w:t>
            </w:r>
          </w:p>
        </w:tc>
        <w:tc>
          <w:tcPr>
            <w:tcW w:w="120" w:type="dxa"/>
            <w:vAlign w:val="bottom"/>
            <w:shd w:val="clear" w:color="auto" w:fill="CCEEFF"/>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7240" w:type="dxa"/>
            <w:vAlign w:val="bottom"/>
            <w:gridSpan w:val="3"/>
          </w:tcPr>
          <w:p>
            <w:pPr>
              <w:ind w:left="240"/>
              <w:spacing w:after="0"/>
              <w:rPr>
                <w:sz w:val="20"/>
                <w:szCs w:val="20"/>
                <w:color w:val="auto"/>
              </w:rPr>
            </w:pPr>
            <w:r>
              <w:rPr>
                <w:rFonts w:ascii="Arial" w:cs="Arial" w:eastAsia="Arial" w:hAnsi="Arial"/>
                <w:sz w:val="12"/>
                <w:szCs w:val="12"/>
                <w:color w:val="auto"/>
              </w:rPr>
              <w:t>International</w:t>
            </w:r>
          </w:p>
        </w:tc>
        <w:tc>
          <w:tcPr>
            <w:tcW w:w="440" w:type="dxa"/>
            <w:vAlign w:val="bottom"/>
          </w:tcPr>
          <w:p>
            <w:pPr>
              <w:jc w:val="right"/>
              <w:spacing w:after="0"/>
              <w:rPr>
                <w:sz w:val="20"/>
                <w:szCs w:val="20"/>
                <w:color w:val="auto"/>
              </w:rPr>
            </w:pPr>
            <w:r>
              <w:rPr>
                <w:rFonts w:ascii="Arial" w:cs="Arial" w:eastAsia="Arial" w:hAnsi="Arial"/>
                <w:sz w:val="12"/>
                <w:szCs w:val="12"/>
                <w:color w:val="auto"/>
              </w:rPr>
              <w:t>198</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1,396</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1,034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2,183</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Monthly Sessions</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define monthly sessions as the number of distinct visits to our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user IP address and ending at the earliest of when a user closes their browser window, after 30 minutes of inactivity, or at midnight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2"/>
                <w:szCs w:val="12"/>
                <w:color w:val="auto"/>
                <w:w w:val="97"/>
              </w:rPr>
              <w:t>Six Months</w:t>
            </w:r>
          </w:p>
        </w:tc>
      </w:tr>
      <w:tr>
        <w:trPr>
          <w:trHeight w:val="135"/>
        </w:trPr>
        <w:tc>
          <w:tcPr>
            <w:tcW w:w="6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101"/>
              <w:spacing w:after="0" w:line="135" w:lineRule="exact"/>
              <w:rPr>
                <w:sz w:val="20"/>
                <w:szCs w:val="20"/>
                <w:color w:val="auto"/>
              </w:rPr>
            </w:pPr>
            <w:r>
              <w:rPr>
                <w:rFonts w:ascii="Arial" w:cs="Arial" w:eastAsia="Arial" w:hAnsi="Arial"/>
                <w:sz w:val="12"/>
                <w:szCs w:val="12"/>
                <w:color w:val="auto"/>
              </w:rPr>
              <w:t>Year Ended</w:t>
            </w:r>
          </w:p>
        </w:tc>
        <w:tc>
          <w:tcPr>
            <w:tcW w:w="120" w:type="dxa"/>
            <w:vAlign w:val="bottom"/>
          </w:tcPr>
          <w:p>
            <w:pPr>
              <w:spacing w:after="0"/>
              <w:rPr>
                <w:sz w:val="11"/>
                <w:szCs w:val="11"/>
                <w:color w:val="auto"/>
              </w:rPr>
            </w:pPr>
          </w:p>
        </w:tc>
        <w:tc>
          <w:tcPr>
            <w:tcW w:w="1100" w:type="dxa"/>
            <w:vAlign w:val="bottom"/>
            <w:gridSpan w:val="4"/>
          </w:tcPr>
          <w:p>
            <w:pPr>
              <w:jc w:val="center"/>
              <w:ind w:right="80"/>
              <w:spacing w:after="0" w:line="135" w:lineRule="exact"/>
              <w:rPr>
                <w:sz w:val="20"/>
                <w:szCs w:val="20"/>
                <w:color w:val="auto"/>
              </w:rPr>
            </w:pPr>
            <w:r>
              <w:rPr>
                <w:rFonts w:ascii="Arial" w:cs="Arial" w:eastAsia="Arial" w:hAnsi="Arial"/>
                <w:sz w:val="12"/>
                <w:szCs w:val="12"/>
                <w:color w:val="auto"/>
                <w:w w:val="97"/>
              </w:rPr>
              <w:t>Ended</w:t>
            </w:r>
          </w:p>
        </w:tc>
      </w:tr>
      <w:tr>
        <w:trPr>
          <w:trHeight w:val="133"/>
        </w:trPr>
        <w:tc>
          <w:tcPr>
            <w:tcW w:w="6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41"/>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center"/>
              <w:ind w:left="1"/>
              <w:spacing w:after="0" w:line="133" w:lineRule="exact"/>
              <w:rPr>
                <w:sz w:val="20"/>
                <w:szCs w:val="20"/>
                <w:color w:val="auto"/>
              </w:rPr>
            </w:pPr>
            <w:r>
              <w:rPr>
                <w:rFonts w:ascii="Arial" w:cs="Arial" w:eastAsia="Arial" w:hAnsi="Arial"/>
                <w:sz w:val="12"/>
                <w:szCs w:val="12"/>
                <w:color w:val="auto"/>
                <w:w w:val="95"/>
              </w:rPr>
              <w:t>June 30,</w:t>
            </w:r>
          </w:p>
        </w:tc>
        <w:tc>
          <w:tcPr>
            <w:tcW w:w="120" w:type="dxa"/>
            <w:vAlign w:val="bottom"/>
          </w:tcPr>
          <w:p>
            <w:pPr>
              <w:spacing w:after="0"/>
              <w:rPr>
                <w:sz w:val="11"/>
                <w:szCs w:val="11"/>
                <w:color w:val="auto"/>
              </w:rPr>
            </w:pPr>
          </w:p>
        </w:tc>
      </w:tr>
      <w:tr>
        <w:trPr>
          <w:trHeight w:val="133"/>
        </w:trPr>
        <w:tc>
          <w:tcPr>
            <w:tcW w:w="68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Average Monthly Sessions</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2017</w:t>
            </w:r>
          </w:p>
        </w:tc>
        <w:tc>
          <w:tcPr>
            <w:tcW w:w="120" w:type="dxa"/>
            <w:vAlign w:val="bottom"/>
          </w:tcPr>
          <w:p>
            <w:pPr>
              <w:spacing w:after="0"/>
              <w:rPr>
                <w:sz w:val="11"/>
                <w:szCs w:val="11"/>
                <w:color w:val="auto"/>
              </w:rPr>
            </w:pPr>
          </w:p>
        </w:tc>
      </w:tr>
      <w:tr>
        <w:trPr>
          <w:trHeight w:val="142"/>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2"/>
                <w:szCs w:val="12"/>
                <w:color w:val="auto"/>
              </w:rPr>
              <w:t>(in thousands)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7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31,531</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46,706</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44,953</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61,593</w:t>
            </w:r>
          </w:p>
        </w:tc>
        <w:tc>
          <w:tcPr>
            <w:tcW w:w="120" w:type="dxa"/>
            <w:vAlign w:val="bottom"/>
            <w:shd w:val="clear" w:color="auto" w:fill="CCEEFF"/>
          </w:tcPr>
          <w:p>
            <w:pPr>
              <w:spacing w:after="0"/>
              <w:rPr>
                <w:sz w:val="11"/>
                <w:szCs w:val="11"/>
                <w:color w:val="auto"/>
              </w:rPr>
            </w:pPr>
          </w:p>
        </w:tc>
      </w:tr>
      <w:tr>
        <w:trPr>
          <w:trHeight w:val="142"/>
        </w:trPr>
        <w:tc>
          <w:tcPr>
            <w:tcW w:w="700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440" w:type="dxa"/>
            <w:vAlign w:val="bottom"/>
          </w:tcPr>
          <w:p>
            <w:pPr>
              <w:jc w:val="right"/>
              <w:spacing w:after="0"/>
              <w:rPr>
                <w:sz w:val="20"/>
                <w:szCs w:val="20"/>
                <w:color w:val="auto"/>
              </w:rPr>
            </w:pPr>
            <w:r>
              <w:rPr>
                <w:rFonts w:ascii="Arial" w:cs="Arial" w:eastAsia="Arial" w:hAnsi="Arial"/>
                <w:sz w:val="12"/>
                <w:szCs w:val="12"/>
                <w:color w:val="auto"/>
              </w:rPr>
              <w:t>342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2,627</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1,833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4,871</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Number of Paying Dealers</w:t>
      </w:r>
    </w:p>
    <w:p>
      <w:pPr>
        <w:spacing w:after="0" w:line="155" w:lineRule="exact"/>
        <w:rPr>
          <w:sz w:val="20"/>
          <w:szCs w:val="20"/>
          <w:color w:val="auto"/>
        </w:rPr>
      </w:pPr>
    </w:p>
    <w:p>
      <w:pPr>
        <w:ind w:right="400" w:firstLine="326"/>
        <w:spacing w:after="0" w:line="239" w:lineRule="auto"/>
        <w:rPr>
          <w:sz w:val="20"/>
          <w:szCs w:val="20"/>
          <w:color w:val="auto"/>
        </w:rPr>
      </w:pPr>
      <w:r>
        <w:rPr>
          <w:rFonts w:ascii="Arial" w:cs="Arial" w:eastAsia="Arial" w:hAnsi="Arial"/>
          <w:sz w:val="12"/>
          <w:szCs w:val="12"/>
          <w:color w:val="auto"/>
        </w:rPr>
        <w:t>Paying dealers are the number of dealers subscribing to one of our Enhanced or Featured Listing products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61"/>
              <w:spacing w:after="0"/>
              <w:rPr>
                <w:sz w:val="20"/>
                <w:szCs w:val="20"/>
                <w:color w:val="auto"/>
              </w:rPr>
            </w:pPr>
            <w:r>
              <w:rPr>
                <w:rFonts w:ascii="Arial" w:cs="Arial" w:eastAsia="Arial" w:hAnsi="Arial"/>
                <w:sz w:val="12"/>
                <w:szCs w:val="12"/>
                <w:color w:val="auto"/>
              </w:rPr>
              <w:t>As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41"/>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41"/>
              <w:spacing w:after="0" w:line="133" w:lineRule="exact"/>
              <w:rPr>
                <w:sz w:val="20"/>
                <w:szCs w:val="20"/>
                <w:color w:val="auto"/>
              </w:rPr>
            </w:pPr>
            <w:r>
              <w:rPr>
                <w:rFonts w:ascii="Arial" w:cs="Arial" w:eastAsia="Arial" w:hAnsi="Arial"/>
                <w:sz w:val="12"/>
                <w:szCs w:val="12"/>
                <w:color w:val="auto"/>
              </w:rPr>
              <w:t>As of June 30,</w:t>
            </w:r>
          </w:p>
        </w:tc>
        <w:tc>
          <w:tcPr>
            <w:tcW w:w="120" w:type="dxa"/>
            <w:vAlign w:val="bottom"/>
          </w:tcPr>
          <w:p>
            <w:pPr>
              <w:spacing w:after="0"/>
              <w:rPr>
                <w:sz w:val="11"/>
                <w:szCs w:val="11"/>
                <w:color w:val="auto"/>
              </w:rPr>
            </w:pPr>
          </w:p>
        </w:tc>
      </w:tr>
      <w:tr>
        <w:trPr>
          <w:trHeight w:val="133"/>
        </w:trPr>
        <w:tc>
          <w:tcPr>
            <w:tcW w:w="68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Number of Paying Dealers</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2017</w:t>
            </w:r>
          </w:p>
        </w:tc>
        <w:tc>
          <w:tcPr>
            <w:tcW w:w="120" w:type="dxa"/>
            <w:vAlign w:val="bottom"/>
          </w:tcPr>
          <w:p>
            <w:pPr>
              <w:spacing w:after="0"/>
              <w:rPr>
                <w:sz w:val="11"/>
                <w:szCs w:val="11"/>
                <w:color w:val="auto"/>
              </w:rPr>
            </w:pPr>
          </w:p>
        </w:tc>
      </w:tr>
      <w:tr>
        <w:trPr>
          <w:trHeight w:val="133"/>
        </w:trPr>
        <w:tc>
          <w:tcPr>
            <w:tcW w:w="70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United States</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12,276</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20,349</w:t>
            </w:r>
          </w:p>
        </w:tc>
        <w:tc>
          <w:tcPr>
            <w:tcW w:w="5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16,944</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23,347</w:t>
            </w:r>
          </w:p>
        </w:tc>
        <w:tc>
          <w:tcPr>
            <w:tcW w:w="120" w:type="dxa"/>
            <w:vAlign w:val="bottom"/>
            <w:shd w:val="clear" w:color="auto" w:fill="CCEEFF"/>
          </w:tcPr>
          <w:p>
            <w:pPr>
              <w:spacing w:after="0"/>
              <w:rPr>
                <w:sz w:val="11"/>
                <w:szCs w:val="11"/>
                <w:color w:val="auto"/>
              </w:rPr>
            </w:pPr>
          </w:p>
        </w:tc>
      </w:tr>
      <w:tr>
        <w:trPr>
          <w:trHeight w:val="142"/>
        </w:trPr>
        <w:tc>
          <w:tcPr>
            <w:tcW w:w="700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440" w:type="dxa"/>
            <w:vAlign w:val="bottom"/>
          </w:tcPr>
          <w:p>
            <w:pPr>
              <w:jc w:val="right"/>
              <w:spacing w:after="0"/>
              <w:rPr>
                <w:sz w:val="20"/>
                <w:szCs w:val="20"/>
                <w:color w:val="auto"/>
              </w:rPr>
            </w:pPr>
            <w:r>
              <w:rPr>
                <w:rFonts w:ascii="Arial" w:cs="Arial" w:eastAsia="Arial" w:hAnsi="Arial"/>
                <w:sz w:val="12"/>
                <w:szCs w:val="12"/>
                <w:color w:val="auto"/>
              </w:rPr>
              <w:t>53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952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306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1,694</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Average Annual Revenue per Subscribing Dealer (AARSD)</w:t>
      </w:r>
    </w:p>
    <w:p>
      <w:pPr>
        <w:spacing w:after="0" w:line="152"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We measure the average annual revenue we receive from each paying dealer. We define AARSD, as measured at the end of a defined period, as the total marketplace subscription revenue during the trailing</w:t>
      </w:r>
    </w:p>
    <w:p>
      <w:pPr>
        <w:ind w:right="100"/>
        <w:spacing w:after="0" w:line="239" w:lineRule="auto"/>
        <w:rPr>
          <w:sz w:val="20"/>
          <w:szCs w:val="20"/>
          <w:color w:val="auto"/>
        </w:rPr>
      </w:pPr>
      <w:r>
        <w:rPr>
          <w:rFonts w:ascii="Arial" w:cs="Arial" w:eastAsia="Arial" w:hAnsi="Arial"/>
          <w:sz w:val="12"/>
          <w:szCs w:val="12"/>
          <w:color w:val="auto"/>
        </w:rPr>
        <w:t>12 months divided by the average number of paying dealers during the same trailing 12-month period. Our ability to grow the AARSD is an indicator of the value proposition of our products and the return on investment, or ROI, our paying dealers realize from our products.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260"/>
        <w:spacing w:after="0" w:line="239" w:lineRule="auto"/>
        <w:rPr>
          <w:sz w:val="20"/>
          <w:szCs w:val="20"/>
          <w:color w:val="auto"/>
        </w:rPr>
      </w:pPr>
      <w:r>
        <w:rPr>
          <w:rFonts w:ascii="Arial" w:cs="Arial" w:eastAsia="Arial" w:hAnsi="Arial"/>
          <w:sz w:val="12"/>
          <w:szCs w:val="12"/>
          <w:color w:val="auto"/>
        </w:rPr>
        <w:t>Increases in AARSD are driven by our ability to grow the volume of connections to our users and the quality of those connections, effectively illustrate the value of brand exposure to our engaged audience in relation to subscription cost, upsell package levels, and cross-sell additional products to our paying dealers.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As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9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5"/>
          </w:tcPr>
          <w:p>
            <w:pPr>
              <w:jc w:val="right"/>
              <w:ind w:right="181"/>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color w:val="auto"/>
              </w:rPr>
              <w:t>As of June 30,</w:t>
            </w:r>
          </w:p>
        </w:tc>
      </w:tr>
      <w:tr>
        <w:trPr>
          <w:trHeight w:val="135"/>
        </w:trPr>
        <w:tc>
          <w:tcPr>
            <w:tcW w:w="5900" w:type="dxa"/>
            <w:vAlign w:val="bottom"/>
            <w:gridSpan w:val="2"/>
          </w:tcPr>
          <w:p>
            <w:pPr>
              <w:spacing w:after="0" w:line="136" w:lineRule="exact"/>
              <w:rPr>
                <w:sz w:val="20"/>
                <w:szCs w:val="20"/>
                <w:color w:val="auto"/>
              </w:rPr>
            </w:pPr>
            <w:r>
              <w:rPr>
                <w:rFonts w:ascii="Arial" w:cs="Arial" w:eastAsia="Arial" w:hAnsi="Arial"/>
                <w:sz w:val="12"/>
                <w:szCs w:val="12"/>
                <w:color w:val="auto"/>
              </w:rPr>
              <w:t>Average Annual Revenue per</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59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Subscribing Dealer (AARSD)</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2016</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2016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2017</w:t>
            </w:r>
          </w:p>
        </w:tc>
        <w:tc>
          <w:tcPr>
            <w:tcW w:w="120" w:type="dxa"/>
            <w:vAlign w:val="bottom"/>
          </w:tcPr>
          <w:p>
            <w:pPr>
              <w:spacing w:after="0"/>
              <w:rPr>
                <w:sz w:val="11"/>
                <w:szCs w:val="11"/>
                <w:color w:val="auto"/>
              </w:rPr>
            </w:pPr>
          </w:p>
        </w:tc>
      </w:tr>
      <w:tr>
        <w:trPr>
          <w:trHeight w:val="133"/>
        </w:trPr>
        <w:tc>
          <w:tcPr>
            <w:tcW w:w="59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United States</w:t>
            </w:r>
          </w:p>
        </w:tc>
        <w:tc>
          <w:tcPr>
            <w:tcW w:w="3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8,835</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10,383</w:t>
            </w:r>
          </w:p>
        </w:tc>
        <w:tc>
          <w:tcPr>
            <w:tcW w:w="3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9,510</w:t>
            </w: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11,048</w:t>
            </w:r>
          </w:p>
        </w:tc>
        <w:tc>
          <w:tcPr>
            <w:tcW w:w="120" w:type="dxa"/>
            <w:vAlign w:val="bottom"/>
            <w:shd w:val="clear" w:color="auto" w:fill="CCEEFF"/>
          </w:tcPr>
          <w:p>
            <w:pPr>
              <w:spacing w:after="0"/>
              <w:rPr>
                <w:sz w:val="11"/>
                <w:szCs w:val="11"/>
                <w:color w:val="auto"/>
              </w:rPr>
            </w:pPr>
          </w:p>
        </w:tc>
      </w:tr>
      <w:tr>
        <w:trPr>
          <w:trHeight w:val="142"/>
        </w:trPr>
        <w:tc>
          <w:tcPr>
            <w:tcW w:w="590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Arial" w:cs="Arial" w:eastAsia="Arial" w:hAnsi="Arial"/>
                <w:sz w:val="12"/>
                <w:szCs w:val="12"/>
                <w:color w:val="auto"/>
                <w:w w:val="93"/>
              </w:rPr>
              <w:t>n/a*</w:t>
            </w: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3,830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n/a*</w:t>
            </w:r>
          </w:p>
        </w:tc>
        <w:tc>
          <w:tcPr>
            <w:tcW w:w="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4,944</w:t>
            </w:r>
          </w:p>
        </w:tc>
        <w:tc>
          <w:tcPr>
            <w:tcW w:w="120" w:type="dxa"/>
            <w:vAlign w:val="bottom"/>
          </w:tcPr>
          <w:p>
            <w:pPr>
              <w:spacing w:after="0"/>
              <w:rPr>
                <w:sz w:val="12"/>
                <w:szCs w:val="12"/>
                <w:color w:val="auto"/>
              </w:rPr>
            </w:pPr>
          </w:p>
        </w:tc>
      </w:tr>
      <w:tr>
        <w:trPr>
          <w:trHeight w:val="65"/>
        </w:trPr>
        <w:tc>
          <w:tcPr>
            <w:tcW w:w="940" w:type="dxa"/>
            <w:vAlign w:val="bottom"/>
            <w:tcBorders>
              <w:bottom w:val="single" w:sz="8" w:color="auto"/>
            </w:tcBorders>
          </w:tcPr>
          <w:p>
            <w:pPr>
              <w:spacing w:after="0"/>
              <w:rPr>
                <w:sz w:val="5"/>
                <w:szCs w:val="5"/>
                <w:color w:val="auto"/>
              </w:rPr>
            </w:pPr>
          </w:p>
        </w:tc>
        <w:tc>
          <w:tcPr>
            <w:tcW w:w="4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147" w:lineRule="exact"/>
        <w:rPr>
          <w:sz w:val="20"/>
          <w:szCs w:val="20"/>
          <w:color w:val="auto"/>
        </w:rPr>
      </w:pPr>
    </w:p>
    <w:p>
      <w:pPr>
        <w:ind w:left="1500" w:hanging="360"/>
        <w:spacing w:after="0"/>
        <w:tabs>
          <w:tab w:leader="none" w:pos="15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International revenues were not generated before October 2015 and, therefore, annual data for the trailing 12-month calculation is not available.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We define Adjusted EBITDA as net income (loss), adjusted to exclude: depreciation and amortization, stock-based compensation expense, other expense (income), net, the (benefit from) provision for income taxes, and other one-time, non-recurring items, when applicable. We monitor and have presented in this prospectus Adjusted EBITDA as a non-GAAP financial measure to supplement the financial information we present on a GAAP basis to provide investors with additional information regarding our financial results. Adjusted EBITDA, as a non-GAAP financial measure, should not be considered in isolation from, or as an alternative to, measures prepared in accordance with GAAP. We consider, and you should consider, Adjusted EBITDA together with other operating and financial performance measures presented in accordance with GAAP. Also, our non-GAAP measure may not necessarily be comparable to similarly titled measures presented by other companies.</w:t>
      </w:r>
    </w:p>
    <w:p>
      <w:pPr>
        <w:spacing w:after="0" w:line="141" w:lineRule="exact"/>
        <w:rPr>
          <w:sz w:val="20"/>
          <w:szCs w:val="20"/>
          <w:color w:val="auto"/>
        </w:rPr>
      </w:pPr>
    </w:p>
    <w:p>
      <w:pPr>
        <w:ind w:right="460" w:firstLine="326"/>
        <w:spacing w:after="0" w:line="239" w:lineRule="auto"/>
        <w:rPr>
          <w:sz w:val="20"/>
          <w:szCs w:val="20"/>
          <w:color w:val="auto"/>
        </w:rPr>
      </w:pPr>
      <w:r>
        <w:rPr>
          <w:rFonts w:ascii="Arial" w:cs="Arial" w:eastAsia="Arial" w:hAnsi="Arial"/>
          <w:sz w:val="12"/>
          <w:szCs w:val="12"/>
          <w:color w:val="auto"/>
        </w:rPr>
        <w:t>We believe that Adjusted EBITDA is a key indicator of our operating results. For further explanation of the uses and limitations of this measure and a reconciliation of our Adjusted EBITDA to the most directly comparable GAAP measure, net income (loss), please see "Selected Consolidated Financial and Other Data — Adjusted EBITDA."</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Performance</w:t>
      </w:r>
    </w:p>
    <w:p>
      <w:pPr>
        <w:spacing w:after="0" w:line="155" w:lineRule="exact"/>
        <w:rPr>
          <w:sz w:val="20"/>
          <w:szCs w:val="20"/>
          <w:color w:val="auto"/>
        </w:rPr>
      </w:pPr>
    </w:p>
    <w:p>
      <w:pPr>
        <w:ind w:right="80" w:firstLine="326"/>
        <w:spacing w:after="0" w:line="239" w:lineRule="auto"/>
        <w:rPr>
          <w:sz w:val="20"/>
          <w:szCs w:val="20"/>
          <w:color w:val="auto"/>
        </w:rPr>
      </w:pPr>
      <w:r>
        <w:rPr>
          <w:rFonts w:ascii="Arial" w:cs="Arial" w:eastAsia="Arial" w:hAnsi="Arial"/>
          <w:sz w:val="12"/>
          <w:szCs w:val="12"/>
          <w:color w:val="auto"/>
        </w:rPr>
        <w:t>We believe that our performance and future growth depends on a number of factors that present significant opportunities for us but also pose risks and challenges, including those discussed below and in the section titled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 Our Paying Dealer Base</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success depends in part on the retention and growth of our paying dealer base. We allow any dealer to list its inventory in our marketplace, receive anonymized email connections and access a subset of the tools on our Dealer Dashboard for free through our Basic Listing product. Through our sales and marketing efforts, we aim to convert those non-paying dealers to Enhanced or Featured Listing subscribers. Dealers with a paid subscription to our Enhanced and Featured Listing products receive connections to consumers that are not anonymous and can be made through a wider variety of methods, including phone calls, email, and managed text and chat. Our platform allows paying dealers to provide a link to their websites, dealership information such as name, address, and hours of operation, and map directions to their dealerships, helping consumers easily contact or visit them, which we believe results in increased local brand awareness and walk-in traffic. Paying dealers also gain access to our Pricing Tool and Market Analysis tool.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80" w:firstLine="319"/>
        <w:spacing w:after="0" w:line="237" w:lineRule="auto"/>
        <w:rPr>
          <w:sz w:val="20"/>
          <w:szCs w:val="20"/>
          <w:color w:val="auto"/>
        </w:rPr>
      </w:pPr>
      <w:r>
        <w:rPr>
          <w:rFonts w:ascii="Arial" w:cs="Arial" w:eastAsia="Arial" w:hAnsi="Arial"/>
          <w:sz w:val="12"/>
          <w:szCs w:val="12"/>
          <w:color w:val="auto"/>
        </w:rPr>
        <w:t>As of June 30, 2017, we had over 40,000 dealers in our active dealer network. Based on estimates by Borrell Associates, there are approximately 43,000 dealers in the United States, and therefore our ability to expand our total U.S. dealer count is limited by the diminishing number of dealers that do not actively list their inventory in our marketplace. However, as of June 30, 2017, only 23,347 of the more than 40,000 U.S. dealers in our active dealer network were paying dealers, and we believe that our ability to convert non-paying dealers to paying dealers will be the biggest driver of our future U.S. paying dealer growth. Bringing new non-paying dealers onto our platform and ultimately seeking to convert them to paying dealers will be an additional, but smaller, driver of such growth.</w:t>
      </w:r>
    </w:p>
    <w:p>
      <w:pPr>
        <w:spacing w:after="0" w:line="139" w:lineRule="exact"/>
        <w:rPr>
          <w:sz w:val="20"/>
          <w:szCs w:val="20"/>
          <w:color w:val="auto"/>
        </w:rPr>
      </w:pPr>
    </w:p>
    <w:p>
      <w:pPr>
        <w:ind w:right="180" w:firstLine="326"/>
        <w:spacing w:after="0" w:line="237" w:lineRule="auto"/>
        <w:rPr>
          <w:sz w:val="20"/>
          <w:szCs w:val="20"/>
          <w:color w:val="auto"/>
        </w:rPr>
      </w:pPr>
      <w:r>
        <w:rPr>
          <w:rFonts w:ascii="Arial" w:cs="Arial" w:eastAsia="Arial" w:hAnsi="Arial"/>
          <w:sz w:val="12"/>
          <w:szCs w:val="12"/>
          <w:color w:val="auto"/>
        </w:rPr>
        <w:t>Our marketplace subscription revenue is a product of the number of paying dealers and their average subscription fees, and therefore, increasing the number of paying dealers is a key growth driver. In 2016, marketplace subscription revenue totaled $171.3 million, accounting for 86% of total revenue. We have made a substantial investment in our sales organization, which focuses on converting dealers from Basic Listing to Enhanced or Featured Listing subscribers. Having more paying dealers provides consumers with more dealer information and methods to contact those dealers. More consumers and connections drives greater value to paying dealers on our platform.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 Average Annual Revenue per Subscribing Dealer (AARSD)</w:t>
      </w:r>
    </w:p>
    <w:p>
      <w:pPr>
        <w:spacing w:after="0" w:line="155" w:lineRule="exact"/>
        <w:rPr>
          <w:sz w:val="20"/>
          <w:szCs w:val="20"/>
          <w:color w:val="auto"/>
        </w:rPr>
      </w:pPr>
    </w:p>
    <w:p>
      <w:pPr>
        <w:ind w:firstLine="319"/>
        <w:spacing w:after="0" w:line="236" w:lineRule="auto"/>
        <w:rPr>
          <w:sz w:val="20"/>
          <w:szCs w:val="20"/>
          <w:color w:val="auto"/>
        </w:rPr>
      </w:pPr>
      <w:r>
        <w:rPr>
          <w:rFonts w:ascii="Arial" w:cs="Arial" w:eastAsia="Arial" w:hAnsi="Arial"/>
          <w:sz w:val="12"/>
          <w:szCs w:val="12"/>
          <w:color w:val="auto"/>
        </w:rPr>
        <w:t>AARSD is a key driver of our marketplace subscription revenue. AARSD is driven by the volume and quality of connections we deliver to dealers, the perceived value of their brand exposure in our marketplace, and our ability to upsell package levels and cross-sell additional products to our paying dealers. In 2016, we provided our U.S. dealer base with over 42 million connections to prospective car buyers. Historically, our growing user traffic has led to an increase in the volume of connections that we provide our U.S. paying dealers, from 10.3 million connections during the second quarter of 2016 to 12.4 million connections during the same period of 2017. This growth has been a primary contributor to the increase in U.S. AARSD, which grew from $9,510 as of June 30, 2016 to $11,048 as of June 30, 2017, or 16%. In the future, we expect new products to play a more important role in helping us grow AARSD.</w:t>
      </w:r>
    </w:p>
    <w:p>
      <w:pPr>
        <w:spacing w:after="0" w:line="141" w:lineRule="exact"/>
        <w:rPr>
          <w:sz w:val="20"/>
          <w:szCs w:val="20"/>
          <w:color w:val="auto"/>
        </w:rPr>
      </w:pPr>
    </w:p>
    <w:p>
      <w:pPr>
        <w:ind w:right="120" w:firstLine="326"/>
        <w:spacing w:after="0" w:line="261" w:lineRule="auto"/>
        <w:rPr>
          <w:sz w:val="20"/>
          <w:szCs w:val="20"/>
          <w:color w:val="auto"/>
        </w:rPr>
      </w:pPr>
      <w:r>
        <w:rPr>
          <w:rFonts w:ascii="Arial" w:cs="Arial" w:eastAsia="Arial" w:hAnsi="Arial"/>
          <w:sz w:val="11"/>
          <w:szCs w:val="11"/>
          <w:color w:val="auto"/>
        </w:rPr>
        <w:t>We have a history of attracting new paying dealers and increasing their annual spend with us over time primarily due to the value they receive from increased connections provided to them from our marketplace. Additionally, paying dealers increase their spend with us by adding products such as display advertising to their listings subscription. As of June 30, 2017, 15% of our U.S. paying dealers subscribed to our dealer display advertising product, up from 5% as of June 30, 2016. The chart below illustrates the total monthly marketplace subscription revenue from each of several cohorts over the fiscal years presented. Each cohort represents dealers that made their initial purchase from us in a given fiscal year. For example, the fiscal year 2015 cohort represents all dealers that made their initial purchase from us between January 1, 2015 and December 31, 2015. The fiscal year 2015 cohort increased its monthly subscription revenue from $6.0 million as of December 31, 2015 to $6.9 million as of December 31, 2016, an increase of 16%. The cohorts prior to January 1, 2015 had monthly subscription revenue of $3.0 million on December 31, 2014, which increased two years later to $4.9 million on December 31, 2016, representing a compound annual growth rate of 27%.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U.S. Monthly Marketplace Subscription Revenue by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5416550" cy="2242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16550"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Note: Data through June 30, 2017.</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Launch of New Dealer Products and Services</w:t>
      </w:r>
    </w:p>
    <w:p>
      <w:pPr>
        <w:spacing w:after="0" w:line="155"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We intend to introduce additional products and services to help dealers better acquire customers in our marketplace and other digital channels, build relationships with prospects, and better manage their inventories, websites, and dealerships. For example, in 2017, we began offering our dealer search engine marketing product, which helps dealers more effectively acquire customers through paid search, social media, and retargeted advertising. Our revenue growth in the future will be dependent, in part, on our ability to successfully innovate, develop, launch, and gain market acceptance of these new products and services. We believe that new products should not only increase our AARSD, but also make our platform more appealing to a broader pool of dealers.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 Our Consumer Audience</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revenue growth depends, in part, on our ability to grow our consumer audience, a critical driver of the number of connections that we provide to our dealers. Increasing our volume of unique users and their engagement is critical to our success as it incentivizes more dealers to purchase our Enhanced or Featured Listing products to benefit from improved access to and engagement with that audience as well as the additional features those subscription products provide. We intend to continue investing in our proprietary algorithmic traffic acquisition and building our brand awareness. We also plan to add new consumer-facing features, tools, and services to assist consumers with more aspects of the car ownership lifecycle, from researching and buying a car through maintaining and eventually selling the car, which we believe will help us grow our consumer audience.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 Our Brand Awareness</w:t>
      </w:r>
    </w:p>
    <w:p>
      <w:pPr>
        <w:spacing w:after="0" w:line="155"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We believe that stronger brand awareness among consumers and dealers will contribute to our future growth. Historically, our marketing efforts have been focused on algorithmic traffic acquisition rather than brand marketing. We plan to further expand our marketing on television, radio, and social media to drive greater brand recognition, trust, and loyalty from a broader consumer audience. The timing and magnitude of our advertising activities will impact our sales and marketing expense and overall profitability in each period, and the effectiveness of such activities in attracting consumers and dealers to our platform could impact our revenue in future periods.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Drive Growth and Profitability in International Markets</w:t>
      </w:r>
    </w:p>
    <w:p>
      <w:pPr>
        <w:spacing w:after="0" w:line="155"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We believe that our opportunity in international markets is significant. To capitalize on this opportunity, we have launched marketplaces in Canada, the United Kingdom, and Germany, and will continue to invest in growing our presence in these and other countries. We have experienced losses in these countries and it is likely we will experience losses in other countries in which we launch marketplaces. Our ability to successfully grow these markets and drive profitability comparable to our performance in the United States will depend on our ability to acquire a critical mass of dealer inventory, grow consumer traffic, provide high quality connections between consumers and dealers, and increase the number of paying dealers in these markets.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55" w:lineRule="exact"/>
        <w:rPr>
          <w:sz w:val="20"/>
          <w:szCs w:val="20"/>
          <w:color w:val="auto"/>
        </w:rPr>
      </w:pPr>
    </w:p>
    <w:p>
      <w:pPr>
        <w:ind w:right="200" w:firstLine="326"/>
        <w:spacing w:after="0" w:line="239" w:lineRule="auto"/>
        <w:rPr>
          <w:sz w:val="20"/>
          <w:szCs w:val="20"/>
          <w:color w:val="auto"/>
        </w:rPr>
      </w:pPr>
      <w:r>
        <w:rPr>
          <w:rFonts w:ascii="Arial" w:cs="Arial" w:eastAsia="Arial" w:hAnsi="Arial"/>
          <w:sz w:val="12"/>
          <w:szCs w:val="12"/>
          <w:color w:val="auto"/>
        </w:rPr>
        <w:t>Our revenue is derived from two primary sources: marketplace subscription revenue, which consists of listing and display advertising subscriptions from dealers, and advertising and other revenue, which consists primarily of display advertising revenue from auto manufacturers and other auto-related brand advertisers.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Marketplace Subscription Revenue</w:t>
      </w:r>
    </w:p>
    <w:p>
      <w:pPr>
        <w:spacing w:after="0" w:line="153"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We offer three types of marketplace Listing products to our dealers: Basic Listing, which is free; and Enhanced or Featured Listing, which require a paid subscription under a monthly, quarterly, semiannual, or annual subscription basis. As of June 30, 2017, 17% of our U.S. paying dealers were on an annual subscription, compared to fewer than 1% of U.S. paying dealers as of June 30, 2016. Subscription pricing is determined based on a dealer's inventory size, region, and our assessment of the connections and ROI our platform will provide them. We also offer dealers access to our Dealer Dashboard, which includes a performance summary, Dealer Insights tool, user review management platform, Pricing Tool, and Market Analysis tool. The Pricing Tool and Market Analysis tool are available only to paying dealers.</w:t>
      </w:r>
    </w:p>
    <w:p>
      <w:pPr>
        <w:spacing w:after="0" w:line="139"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In addition to listing their inventory in our marketplace and gaining access to our Dealer Dashboard, we offer Enhanced and Featured Listing dealers other subscription advertising and customer acquisition products, including display advertising that appears in our marketplace and on other sites on the Internet, which can be targeted by geography, search history, and a number of other factors, and dealer search engine marketing, which helps dealers more effectively acquire customers through paid search, social media, and retargeted advertising.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Marketplace subscription revenue is recognized on a monthly basis as the service is delivered to the dealer.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Advertising and Other Revenue</w:t>
      </w:r>
    </w:p>
    <w:p>
      <w:pPr>
        <w:spacing w:after="0" w:line="153" w:lineRule="exact"/>
        <w:rPr>
          <w:sz w:val="20"/>
          <w:szCs w:val="20"/>
          <w:color w:val="auto"/>
        </w:rPr>
      </w:pPr>
    </w:p>
    <w:p>
      <w:pPr>
        <w:jc w:val="both"/>
        <w:ind w:right="80" w:firstLine="319"/>
        <w:spacing w:after="0" w:line="237" w:lineRule="auto"/>
        <w:rPr>
          <w:sz w:val="20"/>
          <w:szCs w:val="20"/>
          <w:color w:val="auto"/>
        </w:rPr>
      </w:pPr>
      <w:r>
        <w:rPr>
          <w:rFonts w:ascii="Arial" w:cs="Arial" w:eastAsia="Arial" w:hAnsi="Arial"/>
          <w:sz w:val="12"/>
          <w:szCs w:val="12"/>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a description of our revenue accounting policies, see "— Critical Accounting Policies and Significant Estimates."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5" w:lineRule="exact"/>
        <w:rPr>
          <w:sz w:val="20"/>
          <w:szCs w:val="20"/>
          <w:color w:val="auto"/>
        </w:rPr>
      </w:pPr>
    </w:p>
    <w:p>
      <w:pPr>
        <w:ind w:right="20" w:firstLine="326"/>
        <w:spacing w:after="0" w:line="264" w:lineRule="auto"/>
        <w:rPr>
          <w:sz w:val="20"/>
          <w:szCs w:val="20"/>
          <w:color w:val="auto"/>
        </w:rPr>
      </w:pPr>
      <w:r>
        <w:rPr>
          <w:rFonts w:ascii="Arial" w:cs="Arial" w:eastAsia="Arial" w:hAnsi="Arial"/>
          <w:sz w:val="11"/>
          <w:szCs w:val="11"/>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Sales and Marketing</w:t>
      </w:r>
    </w:p>
    <w:p>
      <w:pPr>
        <w:spacing w:after="0" w:line="153"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Product, Technology, and Development</w:t>
      </w:r>
    </w:p>
    <w:p>
      <w:pPr>
        <w:spacing w:after="0" w:line="153"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costs that qualify for capitalization, research and development costs are expensed as incurred. We expect product, technology, and development expenses to increase as we develop new solutions and make improvements to our existing platform.</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General and Administrative</w:t>
      </w:r>
    </w:p>
    <w:p>
      <w:pPr>
        <w:spacing w:after="0" w:line="153"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incur the costs of compliance associated with being a publicly traded company, including legal, audit, and consulting fees.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Depreciation and Amortization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Depreciation and amortization expenses consist of depreciation on property and equipment and leasehold improvements.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(Expense) Income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(expense) income consists primarily of interest income earned on our cash, cash equivalents, and investments, interest expense on lease obligations, and net foreign exchange gains and losses.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 from) Provision for Income Taxes</w:t>
      </w:r>
    </w:p>
    <w:p>
      <w:pPr>
        <w:spacing w:after="0" w:line="155"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We are subject to federal and state income taxes in the United States and taxes in foreign jurisdictions in which we operate. We have recorded a provision for income taxes for the period ended December 31, 2016 as a result of our consolidated taxable income position. We have recognized a benefit from income taxes for the period ended December 31, 2015 due to our taxable loss position for that period.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December 31, 2015 or 2016, or at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5" w:lineRule="exact"/>
        <w:rPr>
          <w:sz w:val="20"/>
          <w:szCs w:val="20"/>
          <w:color w:val="auto"/>
        </w:rPr>
      </w:pPr>
    </w:p>
    <w:p>
      <w:pPr>
        <w:ind w:right="400" w:firstLine="323"/>
        <w:spacing w:after="0" w:line="239" w:lineRule="auto"/>
        <w:rPr>
          <w:sz w:val="20"/>
          <w:szCs w:val="20"/>
          <w:color w:val="auto"/>
        </w:rPr>
      </w:pPr>
      <w:r>
        <w:rPr>
          <w:rFonts w:ascii="Arial" w:cs="Arial" w:eastAsia="Arial" w:hAnsi="Arial"/>
          <w:sz w:val="12"/>
          <w:szCs w:val="12"/>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right"/>
              <w:ind w:right="261"/>
              <w:spacing w:after="0"/>
              <w:rPr>
                <w:sz w:val="20"/>
                <w:szCs w:val="20"/>
                <w:color w:val="auto"/>
              </w:rPr>
            </w:pPr>
            <w:r>
              <w:rPr>
                <w:rFonts w:ascii="Arial" w:cs="Arial" w:eastAsia="Arial" w:hAnsi="Arial"/>
                <w:sz w:val="12"/>
                <w:szCs w:val="12"/>
                <w:color w:val="auto"/>
              </w:rPr>
              <w:t>Year 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6"/>
          </w:tcPr>
          <w:p>
            <w:pPr>
              <w:jc w:val="center"/>
              <w:ind w:right="1220"/>
              <w:spacing w:after="0"/>
              <w:rPr>
                <w:sz w:val="20"/>
                <w:szCs w:val="20"/>
                <w:color w:val="auto"/>
              </w:rPr>
            </w:pPr>
            <w:r>
              <w:rPr>
                <w:rFonts w:ascii="Arial" w:cs="Arial" w:eastAsia="Arial" w:hAnsi="Arial"/>
                <w:sz w:val="12"/>
                <w:szCs w:val="12"/>
                <w:color w:val="auto"/>
                <w:w w:val="97"/>
              </w:rPr>
              <w:t>Six Months</w:t>
            </w:r>
          </w:p>
        </w:tc>
      </w:tr>
      <w:tr>
        <w:trPr>
          <w:trHeight w:val="133"/>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jc w:val="right"/>
              <w:ind w:right="201"/>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6"/>
          </w:tcPr>
          <w:p>
            <w:pPr>
              <w:jc w:val="center"/>
              <w:ind w:right="1220"/>
              <w:spacing w:after="0" w:line="133" w:lineRule="exact"/>
              <w:rPr>
                <w:sz w:val="20"/>
                <w:szCs w:val="20"/>
                <w:color w:val="auto"/>
              </w:rPr>
            </w:pPr>
            <w:r>
              <w:rPr>
                <w:rFonts w:ascii="Arial" w:cs="Arial" w:eastAsia="Arial" w:hAnsi="Arial"/>
                <w:sz w:val="12"/>
                <w:szCs w:val="12"/>
                <w:color w:val="auto"/>
                <w:w w:val="97"/>
              </w:rPr>
              <w:t>Ended June 30,</w:t>
            </w: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2015</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tcPr>
          <w:p>
            <w:pPr>
              <w:jc w:val="right"/>
              <w:ind w:right="161"/>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Revenue:</w:t>
            </w: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Marketplace subscription</w:t>
            </w:r>
          </w:p>
        </w:tc>
        <w:tc>
          <w:tcPr>
            <w:tcW w:w="29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75,142</w:t>
            </w:r>
          </w:p>
        </w:tc>
        <w:tc>
          <w:tcPr>
            <w:tcW w:w="60" w:type="dxa"/>
            <w:vAlign w:val="bottom"/>
          </w:tcPr>
          <w:p>
            <w:pPr>
              <w:spacing w:after="0"/>
              <w:rPr>
                <w:sz w:val="11"/>
                <w:szCs w:val="11"/>
                <w:color w:val="auto"/>
              </w:rPr>
            </w:pPr>
          </w:p>
        </w:tc>
        <w:tc>
          <w:tcPr>
            <w:tcW w:w="2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171,302</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71,638</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127,952</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Advertising and other</w:t>
            </w:r>
          </w:p>
        </w:tc>
        <w:tc>
          <w:tcPr>
            <w:tcW w:w="2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23,446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26,839</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12,603</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15,323</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24"/>
        </w:trPr>
        <w:tc>
          <w:tcPr>
            <w:tcW w:w="44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Total revenue</w:t>
            </w: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98,588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198,141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84,241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143,275</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Cost of revenue</w:t>
            </w:r>
          </w:p>
        </w:tc>
        <w:tc>
          <w:tcPr>
            <w:tcW w:w="2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4,234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9,575</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3,819</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7,647</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24"/>
        </w:trPr>
        <w:tc>
          <w:tcPr>
            <w:tcW w:w="44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Gross profit</w:t>
            </w: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94,354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188,566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80,422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135,628</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Operating expenses:</w:t>
            </w: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Sales and marketing</w:t>
            </w: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81,877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154,125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68,313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104,604</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Product, technology, and development</w:t>
            </w:r>
          </w:p>
        </w:tc>
        <w:tc>
          <w:tcPr>
            <w:tcW w:w="2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11,453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5,150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8,357</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General and administrative</w:t>
            </w: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5,801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12,783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5,618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9,092</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Depreciation and amortization</w:t>
            </w:r>
          </w:p>
        </w:tc>
        <w:tc>
          <w:tcPr>
            <w:tcW w:w="2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969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1,634</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633</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1,196</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24"/>
        </w:trPr>
        <w:tc>
          <w:tcPr>
            <w:tcW w:w="44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Total operating expenses</w:t>
            </w:r>
          </w:p>
        </w:tc>
        <w:tc>
          <w:tcPr>
            <w:tcW w:w="2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96,882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179,995</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79,714</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123,249</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(Loss) income from operations</w:t>
            </w:r>
          </w:p>
        </w:tc>
        <w:tc>
          <w:tcPr>
            <w:tcW w:w="2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(2,528)</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8,571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708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12,379</w:t>
            </w:r>
          </w:p>
        </w:tc>
        <w:tc>
          <w:tcPr>
            <w:tcW w:w="120" w:type="dxa"/>
            <w:vAlign w:val="bottom"/>
            <w:shd w:val="clear" w:color="auto" w:fill="CCEEFF"/>
          </w:tcPr>
          <w:p>
            <w:pPr>
              <w:spacing w:after="0"/>
              <w:rPr>
                <w:sz w:val="10"/>
                <w:szCs w:val="10"/>
                <w:color w:val="auto"/>
              </w:rPr>
            </w:pPr>
          </w:p>
        </w:tc>
        <w:tc>
          <w:tcPr>
            <w:tcW w:w="1140" w:type="dxa"/>
            <w:vAlign w:val="bottom"/>
          </w:tcPr>
          <w:p>
            <w:pPr>
              <w:spacing w:after="0"/>
              <w:rPr>
                <w:sz w:val="10"/>
                <w:szCs w:val="10"/>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Other (expense) income, net</w:t>
            </w: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374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217</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(Loss) income before income taxes</w:t>
            </w:r>
          </w:p>
        </w:tc>
        <w:tc>
          <w:tcPr>
            <w:tcW w:w="2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(2,540)</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8,945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861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12,596</w:t>
            </w:r>
          </w:p>
        </w:tc>
        <w:tc>
          <w:tcPr>
            <w:tcW w:w="120" w:type="dxa"/>
            <w:vAlign w:val="bottom"/>
            <w:shd w:val="clear" w:color="auto" w:fill="CCEEFF"/>
          </w:tcPr>
          <w:p>
            <w:pPr>
              <w:spacing w:after="0"/>
              <w:rPr>
                <w:sz w:val="10"/>
                <w:szCs w:val="10"/>
                <w:color w:val="auto"/>
              </w:rPr>
            </w:pPr>
          </w:p>
        </w:tc>
        <w:tc>
          <w:tcPr>
            <w:tcW w:w="1140" w:type="dxa"/>
            <w:vAlign w:val="bottom"/>
          </w:tcPr>
          <w:p>
            <w:pPr>
              <w:spacing w:after="0"/>
              <w:rPr>
                <w:sz w:val="10"/>
                <w:szCs w:val="10"/>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(Benefit from) provision for income taxes</w:t>
            </w: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(904)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2,448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340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4,043</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1"/>
        </w:trPr>
        <w:tc>
          <w:tcPr>
            <w:tcW w:w="1140" w:type="dxa"/>
            <w:vAlign w:val="bottom"/>
          </w:tcPr>
          <w:p>
            <w:pPr>
              <w:spacing w:after="0"/>
              <w:rPr>
                <w:sz w:val="11"/>
                <w:szCs w:val="11"/>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(loss) income</w:t>
            </w:r>
          </w:p>
        </w:tc>
        <w:tc>
          <w:tcPr>
            <w:tcW w:w="29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(1,636)</w:t>
            </w:r>
          </w:p>
        </w:tc>
        <w:tc>
          <w:tcPr>
            <w:tcW w:w="2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6,497</w:t>
            </w:r>
          </w:p>
        </w:tc>
        <w:tc>
          <w:tcPr>
            <w:tcW w:w="2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521</w:t>
            </w:r>
          </w:p>
        </w:tc>
        <w:tc>
          <w:tcPr>
            <w:tcW w:w="2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8,553</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28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40" w:type="dxa"/>
            <w:vAlign w:val="bottom"/>
          </w:tcPr>
          <w:p>
            <w:pPr>
              <w:jc w:val="right"/>
              <w:ind w:right="1341"/>
              <w:spacing w:after="0"/>
              <w:rPr>
                <w:sz w:val="20"/>
                <w:szCs w:val="20"/>
                <w:color w:val="auto"/>
              </w:rPr>
            </w:pPr>
            <w:r>
              <w:rPr>
                <w:rFonts w:ascii="Arial" w:cs="Arial" w:eastAsia="Arial" w:hAnsi="Arial"/>
                <w:sz w:val="12"/>
                <w:szCs w:val="12"/>
                <w:color w:val="auto"/>
              </w:rPr>
              <w:t>66</w:t>
            </w: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27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2"/>
                <w:szCs w:val="12"/>
                <w:color w:val="auto"/>
              </w:rPr>
              <w:t>Year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2"/>
                <w:szCs w:val="12"/>
                <w:color w:val="auto"/>
              </w:rPr>
              <w:t>Six Months</w:t>
            </w:r>
          </w:p>
        </w:tc>
      </w:tr>
      <w:tr>
        <w:trPr>
          <w:trHeight w:val="133"/>
        </w:trPr>
        <w:tc>
          <w:tcPr>
            <w:tcW w:w="38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6"/>
          </w:tcPr>
          <w:p>
            <w:pPr>
              <w:jc w:val="right"/>
              <w:ind w:right="340"/>
              <w:spacing w:after="0" w:line="133" w:lineRule="exact"/>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6"/>
          </w:tcPr>
          <w:p>
            <w:pPr>
              <w:jc w:val="right"/>
              <w:ind w:right="360"/>
              <w:spacing w:after="0" w:line="133" w:lineRule="exact"/>
              <w:rPr>
                <w:sz w:val="20"/>
                <w:szCs w:val="20"/>
                <w:color w:val="auto"/>
              </w:rPr>
            </w:pPr>
            <w:r>
              <w:rPr>
                <w:rFonts w:ascii="Arial" w:cs="Arial" w:eastAsia="Arial" w:hAnsi="Arial"/>
                <w:sz w:val="12"/>
                <w:szCs w:val="12"/>
                <w:color w:val="auto"/>
              </w:rPr>
              <w:t>Ended June 30,</w:t>
            </w:r>
          </w:p>
        </w:tc>
      </w:tr>
      <w:tr>
        <w:trPr>
          <w:trHeight w:val="142"/>
        </w:trPr>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2015</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2016</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6"/>
          </w:tcPr>
          <w:p>
            <w:pPr>
              <w:jc w:val="right"/>
              <w:ind w:right="320"/>
              <w:spacing w:after="0"/>
              <w:rPr>
                <w:sz w:val="20"/>
                <w:szCs w:val="20"/>
                <w:color w:val="auto"/>
              </w:rPr>
            </w:pPr>
            <w:r>
              <w:rPr>
                <w:rFonts w:ascii="Arial" w:cs="Arial" w:eastAsia="Arial" w:hAnsi="Arial"/>
                <w:sz w:val="12"/>
                <w:szCs w:val="12"/>
                <w:color w:val="auto"/>
              </w:rPr>
              <w:t>(in 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Additional Financial Data</w:t>
            </w:r>
          </w:p>
        </w:tc>
        <w:tc>
          <w:tcPr>
            <w:tcW w:w="2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b w:val="1"/>
                <w:bCs w:val="1"/>
                <w:color w:val="auto"/>
              </w:rPr>
              <w:t>Revenue</w:t>
            </w: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2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98,566</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195,824</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83,760</w:t>
            </w: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139,560</w:t>
            </w:r>
          </w:p>
        </w:tc>
        <w:tc>
          <w:tcPr>
            <w:tcW w:w="12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color w:val="auto"/>
              </w:rPr>
              <w:t>International</w:t>
            </w:r>
          </w:p>
        </w:tc>
        <w:tc>
          <w:tcPr>
            <w:tcW w:w="20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2,317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481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3,715</w:t>
            </w:r>
          </w:p>
        </w:tc>
        <w:tc>
          <w:tcPr>
            <w:tcW w:w="120" w:type="dxa"/>
            <w:vAlign w:val="bottom"/>
          </w:tcPr>
          <w:p>
            <w:pPr>
              <w:spacing w:after="0"/>
              <w:rPr>
                <w:sz w:val="11"/>
                <w:szCs w:val="11"/>
                <w:color w:val="auto"/>
              </w:rPr>
            </w:pPr>
          </w:p>
        </w:tc>
      </w:tr>
      <w:tr>
        <w:trPr>
          <w:trHeight w:val="131"/>
        </w:trPr>
        <w:tc>
          <w:tcPr>
            <w:tcW w:w="382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2280" w:type="dxa"/>
            <w:vAlign w:val="bottom"/>
            <w:gridSpan w:val="2"/>
            <w:shd w:val="clear" w:color="auto" w:fill="CCEEFF"/>
          </w:tcPr>
          <w:p>
            <w:pPr>
              <w:jc w:val="right"/>
              <w:ind w:right="93"/>
              <w:spacing w:after="0" w:line="124"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98,588</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198,141</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84,241</w:t>
            </w: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143,275</w:t>
            </w:r>
          </w:p>
        </w:tc>
        <w:tc>
          <w:tcPr>
            <w:tcW w:w="12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b w:val="1"/>
                <w:bCs w:val="1"/>
                <w:color w:val="auto"/>
              </w:rPr>
              <w:t>(Loss) income from Operations</w:t>
            </w:r>
          </w:p>
        </w:tc>
        <w:tc>
          <w:tcPr>
            <w:tcW w:w="20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2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637</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27,461</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8,467</w:t>
            </w: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24,280</w:t>
            </w:r>
          </w:p>
        </w:tc>
        <w:tc>
          <w:tcPr>
            <w:tcW w:w="12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color w:val="auto"/>
              </w:rPr>
              <w:t>International</w:t>
            </w: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(3,165)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(18,890)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(7,759)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(11,901)</w:t>
            </w:r>
          </w:p>
        </w:tc>
      </w:tr>
      <w:tr>
        <w:trPr>
          <w:trHeight w:val="20"/>
        </w:trPr>
        <w:tc>
          <w:tcPr>
            <w:tcW w:w="3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382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20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(2,528)</w:t>
            </w:r>
          </w:p>
        </w:tc>
        <w:tc>
          <w:tcPr>
            <w:tcW w:w="2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8,571</w:t>
            </w:r>
          </w:p>
        </w:tc>
        <w:tc>
          <w:tcPr>
            <w:tcW w:w="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708</w:t>
            </w:r>
          </w:p>
        </w:tc>
        <w:tc>
          <w:tcPr>
            <w:tcW w:w="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12,379</w:t>
            </w:r>
          </w:p>
        </w:tc>
        <w:tc>
          <w:tcPr>
            <w:tcW w:w="120" w:type="dxa"/>
            <w:vAlign w:val="bottom"/>
            <w:shd w:val="clear" w:color="auto" w:fill="CCEEFF"/>
          </w:tcPr>
          <w:p>
            <w:pPr>
              <w:spacing w:after="0"/>
              <w:rPr>
                <w:sz w:val="10"/>
                <w:szCs w:val="10"/>
                <w:color w:val="auto"/>
              </w:rPr>
            </w:pPr>
          </w:p>
        </w:tc>
      </w:tr>
      <w:tr>
        <w:trPr>
          <w:trHeight w:val="27"/>
        </w:trPr>
        <w:tc>
          <w:tcPr>
            <w:tcW w:w="3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our selected consolidated statements of operations data as a percentage of revenue for each of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left="281"/>
              <w:spacing w:after="0"/>
              <w:rPr>
                <w:sz w:val="20"/>
                <w:szCs w:val="20"/>
                <w:color w:val="auto"/>
              </w:rPr>
            </w:pPr>
            <w:r>
              <w:rPr>
                <w:rFonts w:ascii="Arial" w:cs="Arial" w:eastAsia="Arial" w:hAnsi="Arial"/>
                <w:sz w:val="12"/>
                <w:szCs w:val="12"/>
                <w:color w:val="auto"/>
                <w:w w:val="95"/>
              </w:rPr>
              <w:t>Six</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tcPr>
          <w:p>
            <w:pPr>
              <w:jc w:val="center"/>
              <w:ind w:right="1220"/>
              <w:spacing w:after="0" w:line="135" w:lineRule="exact"/>
              <w:rPr>
                <w:sz w:val="20"/>
                <w:szCs w:val="20"/>
                <w:color w:val="auto"/>
              </w:rPr>
            </w:pPr>
            <w:r>
              <w:rPr>
                <w:rFonts w:ascii="Arial" w:cs="Arial" w:eastAsia="Arial" w:hAnsi="Arial"/>
                <w:sz w:val="12"/>
                <w:szCs w:val="12"/>
                <w:color w:val="auto"/>
                <w:w w:val="96"/>
              </w:rPr>
              <w:t>Months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80" w:type="dxa"/>
            <w:vAlign w:val="bottom"/>
            <w:gridSpan w:val="4"/>
          </w:tcPr>
          <w:p>
            <w:pPr>
              <w:jc w:val="right"/>
              <w:ind w:right="220"/>
              <w:spacing w:after="0" w:line="135" w:lineRule="exact"/>
              <w:rPr>
                <w:sz w:val="20"/>
                <w:szCs w:val="20"/>
                <w:color w:val="auto"/>
              </w:rPr>
            </w:pPr>
            <w:r>
              <w:rPr>
                <w:rFonts w:ascii="Arial" w:cs="Arial" w:eastAsia="Arial" w:hAnsi="Arial"/>
                <w:sz w:val="12"/>
                <w:szCs w:val="12"/>
                <w:color w:val="auto"/>
              </w:rPr>
              <w:t>Year Ended</w:t>
            </w:r>
          </w:p>
        </w:tc>
        <w:tc>
          <w:tcPr>
            <w:tcW w:w="2040" w:type="dxa"/>
            <w:vAlign w:val="bottom"/>
            <w:gridSpan w:val="5"/>
          </w:tcPr>
          <w:p>
            <w:pPr>
              <w:jc w:val="center"/>
              <w:ind w:right="1220"/>
              <w:spacing w:after="0" w:line="135" w:lineRule="exact"/>
              <w:rPr>
                <w:sz w:val="20"/>
                <w:szCs w:val="20"/>
                <w:color w:val="auto"/>
              </w:rPr>
            </w:pPr>
            <w:r>
              <w:rPr>
                <w:rFonts w:ascii="Arial" w:cs="Arial" w:eastAsia="Arial" w:hAnsi="Arial"/>
                <w:sz w:val="12"/>
                <w:szCs w:val="12"/>
                <w:color w:val="auto"/>
                <w:w w:val="97"/>
              </w:rPr>
              <w:t>Ended</w:t>
            </w: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6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left="1"/>
              <w:spacing w:after="0" w:line="133" w:lineRule="exact"/>
              <w:rPr>
                <w:sz w:val="20"/>
                <w:szCs w:val="20"/>
                <w:color w:val="auto"/>
              </w:rPr>
            </w:pPr>
            <w:r>
              <w:rPr>
                <w:rFonts w:ascii="Arial" w:cs="Arial" w:eastAsia="Arial" w:hAnsi="Arial"/>
                <w:sz w:val="12"/>
                <w:szCs w:val="12"/>
                <w:color w:val="auto"/>
                <w:w w:val="95"/>
              </w:rPr>
              <w:t>June 30,</w:t>
            </w: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340" w:type="dxa"/>
            <w:vAlign w:val="bottom"/>
            <w:gridSpan w:val="2"/>
          </w:tcPr>
          <w:p>
            <w:pPr>
              <w:jc w:val="right"/>
              <w:spacing w:after="0"/>
              <w:rPr>
                <w:sz w:val="20"/>
                <w:szCs w:val="20"/>
                <w:color w:val="auto"/>
              </w:rPr>
            </w:pPr>
            <w:r>
              <w:rPr>
                <w:rFonts w:ascii="Arial" w:cs="Arial" w:eastAsia="Arial" w:hAnsi="Arial"/>
                <w:sz w:val="12"/>
                <w:szCs w:val="12"/>
                <w:color w:val="auto"/>
              </w:rPr>
              <w:t>2015</w:t>
            </w: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2016</w:t>
            </w:r>
          </w:p>
        </w:tc>
        <w:tc>
          <w:tcPr>
            <w:tcW w:w="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97"/>
              </w:rPr>
              <w:t>2017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3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400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Marketplace subscription</w:t>
            </w:r>
          </w:p>
        </w:tc>
        <w:tc>
          <w:tcPr>
            <w:tcW w:w="452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76%</w:t>
            </w:r>
          </w:p>
        </w:tc>
        <w:tc>
          <w:tcPr>
            <w:tcW w:w="4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86%</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85%</w:t>
            </w: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89%</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Advertising and other</w:t>
            </w:r>
          </w:p>
        </w:tc>
        <w:tc>
          <w:tcPr>
            <w:tcW w:w="40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revenue</w:t>
            </w:r>
          </w:p>
        </w:tc>
        <w:tc>
          <w:tcPr>
            <w:tcW w:w="452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100%</w:t>
            </w:r>
          </w:p>
        </w:tc>
        <w:tc>
          <w:tcPr>
            <w:tcW w:w="4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500" w:type="dxa"/>
            <w:vAlign w:val="bottom"/>
            <w:tcBorders>
              <w:right w:val="single" w:sz="8" w:color="CCEEFF"/>
            </w:tcBorders>
            <w:gridSpan w:val="2"/>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100%</w:t>
            </w:r>
          </w:p>
        </w:tc>
        <w:tc>
          <w:tcPr>
            <w:tcW w:w="4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Cost of revenue</w:t>
            </w:r>
          </w:p>
        </w:tc>
        <w:tc>
          <w:tcPr>
            <w:tcW w:w="400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w:t>
            </w: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w:t>
            </w:r>
          </w:p>
        </w:tc>
        <w:tc>
          <w:tcPr>
            <w:tcW w:w="12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w:t>
            </w:r>
          </w:p>
        </w:tc>
        <w:tc>
          <w:tcPr>
            <w:tcW w:w="160" w:type="dxa"/>
            <w:vAlign w:val="bottom"/>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Gross profit</w:t>
            </w:r>
          </w:p>
        </w:tc>
        <w:tc>
          <w:tcPr>
            <w:tcW w:w="43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96</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96</w:t>
            </w: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6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Operating expenses:</w:t>
            </w:r>
          </w:p>
        </w:tc>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Sales and marketing</w:t>
            </w:r>
          </w:p>
        </w:tc>
        <w:tc>
          <w:tcPr>
            <w:tcW w:w="4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w:t>
            </w: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Product, technology, and development</w:t>
            </w:r>
          </w:p>
        </w:tc>
        <w:tc>
          <w:tcPr>
            <w:tcW w:w="43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w:t>
            </w: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General and administrative</w:t>
            </w:r>
          </w:p>
        </w:tc>
        <w:tc>
          <w:tcPr>
            <w:tcW w:w="4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w:t>
            </w: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tcPr>
          <w:p>
            <w:pPr>
              <w:ind w:left="120"/>
              <w:spacing w:after="0" w:line="135" w:lineRule="exact"/>
              <w:rPr>
                <w:sz w:val="20"/>
                <w:szCs w:val="20"/>
                <w:color w:val="auto"/>
              </w:rPr>
            </w:pPr>
            <w:r>
              <w:rPr>
                <w:rFonts w:ascii="Arial" w:cs="Arial" w:eastAsia="Arial" w:hAnsi="Arial"/>
                <w:sz w:val="12"/>
                <w:szCs w:val="12"/>
                <w:color w:val="auto"/>
              </w:rPr>
              <w:t>Depreciation and amortization</w:t>
            </w:r>
          </w:p>
        </w:tc>
        <w:tc>
          <w:tcPr>
            <w:tcW w:w="400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operating expenses</w:t>
            </w:r>
          </w:p>
        </w:tc>
        <w:tc>
          <w:tcPr>
            <w:tcW w:w="40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99</w:t>
            </w:r>
          </w:p>
        </w:tc>
        <w:tc>
          <w:tcPr>
            <w:tcW w:w="1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95</w:t>
            </w: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(Loss) income from operations</w:t>
            </w:r>
          </w:p>
        </w:tc>
        <w:tc>
          <w:tcPr>
            <w:tcW w:w="4520" w:type="dxa"/>
            <w:vAlign w:val="bottom"/>
            <w:gridSpan w:val="3"/>
          </w:tcPr>
          <w:p>
            <w:pPr>
              <w:jc w:val="right"/>
              <w:ind w:right="140"/>
              <w:spacing w:after="0" w:line="124" w:lineRule="exact"/>
              <w:rPr>
                <w:sz w:val="20"/>
                <w:szCs w:val="20"/>
                <w:color w:val="auto"/>
              </w:rPr>
            </w:pPr>
            <w:r>
              <w:rPr>
                <w:rFonts w:ascii="Arial" w:cs="Arial" w:eastAsia="Arial" w:hAnsi="Arial"/>
                <w:sz w:val="12"/>
                <w:szCs w:val="12"/>
                <w:color w:val="auto"/>
              </w:rPr>
              <w:t>(3)</w:t>
            </w: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c>
          <w:tcPr>
            <w:tcW w:w="120" w:type="dxa"/>
            <w:vAlign w:val="bottom"/>
          </w:tcPr>
          <w:p>
            <w:pPr>
              <w:spacing w:after="0"/>
              <w:rPr>
                <w:sz w:val="10"/>
                <w:szCs w:val="10"/>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0"/>
                <w:szCs w:val="10"/>
                <w:color w:val="auto"/>
              </w:rPr>
            </w:pPr>
          </w:p>
        </w:tc>
        <w:tc>
          <w:tcPr>
            <w:tcW w:w="280" w:type="dxa"/>
            <w:vAlign w:val="bottom"/>
          </w:tcPr>
          <w:p>
            <w:pPr>
              <w:jc w:val="right"/>
              <w:spacing w:after="0" w:line="124" w:lineRule="exact"/>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income (expense), net</w:t>
            </w:r>
          </w:p>
        </w:tc>
        <w:tc>
          <w:tcPr>
            <w:tcW w:w="40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460" w:type="dxa"/>
            <w:vAlign w:val="bottom"/>
            <w:gridSpan w:val="2"/>
          </w:tcPr>
          <w:p>
            <w:pPr>
              <w:ind w:left="1140"/>
              <w:spacing w:after="0" w:line="124" w:lineRule="exact"/>
              <w:rPr>
                <w:sz w:val="20"/>
                <w:szCs w:val="20"/>
                <w:color w:val="auto"/>
              </w:rPr>
            </w:pPr>
            <w:r>
              <w:rPr>
                <w:rFonts w:ascii="Arial" w:cs="Arial" w:eastAsia="Arial" w:hAnsi="Arial"/>
                <w:sz w:val="12"/>
                <w:szCs w:val="12"/>
                <w:color w:val="auto"/>
              </w:rPr>
              <w:t>(Loss) income before income taxes</w:t>
            </w:r>
          </w:p>
        </w:tc>
        <w:tc>
          <w:tcPr>
            <w:tcW w:w="4520" w:type="dxa"/>
            <w:vAlign w:val="bottom"/>
            <w:gridSpan w:val="3"/>
          </w:tcPr>
          <w:p>
            <w:pPr>
              <w:jc w:val="right"/>
              <w:ind w:right="140"/>
              <w:spacing w:after="0" w:line="124" w:lineRule="exact"/>
              <w:rPr>
                <w:sz w:val="20"/>
                <w:szCs w:val="20"/>
                <w:color w:val="auto"/>
              </w:rPr>
            </w:pPr>
            <w:r>
              <w:rPr>
                <w:rFonts w:ascii="Arial" w:cs="Arial" w:eastAsia="Arial" w:hAnsi="Arial"/>
                <w:sz w:val="12"/>
                <w:szCs w:val="12"/>
                <w:color w:val="auto"/>
              </w:rPr>
              <w:t>(3)</w:t>
            </w: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c>
          <w:tcPr>
            <w:tcW w:w="120" w:type="dxa"/>
            <w:vAlign w:val="bottom"/>
          </w:tcPr>
          <w:p>
            <w:pPr>
              <w:spacing w:after="0"/>
              <w:rPr>
                <w:sz w:val="10"/>
                <w:szCs w:val="10"/>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0"/>
                <w:szCs w:val="10"/>
                <w:color w:val="auto"/>
              </w:rPr>
            </w:pPr>
          </w:p>
        </w:tc>
        <w:tc>
          <w:tcPr>
            <w:tcW w:w="280" w:type="dxa"/>
            <w:vAlign w:val="bottom"/>
          </w:tcPr>
          <w:p>
            <w:pPr>
              <w:jc w:val="right"/>
              <w:spacing w:after="0" w:line="124" w:lineRule="exact"/>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(Benefit from) provision for income taxes</w:t>
            </w:r>
          </w:p>
        </w:tc>
        <w:tc>
          <w:tcPr>
            <w:tcW w:w="40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5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1140"/>
              <w:spacing w:after="0"/>
              <w:rPr>
                <w:sz w:val="20"/>
                <w:szCs w:val="20"/>
                <w:color w:val="auto"/>
              </w:rPr>
            </w:pPr>
            <w:r>
              <w:rPr>
                <w:rFonts w:ascii="Arial" w:cs="Arial" w:eastAsia="Arial" w:hAnsi="Arial"/>
                <w:sz w:val="12"/>
                <w:szCs w:val="12"/>
                <w:color w:val="auto"/>
              </w:rPr>
              <w:t>Net (loss) income</w:t>
            </w:r>
          </w:p>
        </w:tc>
        <w:tc>
          <w:tcPr>
            <w:tcW w:w="4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60" w:type="dxa"/>
            <w:vAlign w:val="bottom"/>
            <w:gridSpan w:val="2"/>
            <w:vMerge w:val="continue"/>
          </w:tcPr>
          <w:p>
            <w:pPr>
              <w:spacing w:after="0"/>
              <w:rPr>
                <w:sz w:val="11"/>
                <w:szCs w:val="11"/>
                <w:color w:val="auto"/>
              </w:rPr>
            </w:pPr>
          </w:p>
        </w:tc>
        <w:tc>
          <w:tcPr>
            <w:tcW w:w="4000" w:type="dxa"/>
            <w:vAlign w:val="bottom"/>
          </w:tcPr>
          <w:p>
            <w:pPr>
              <w:spacing w:after="0"/>
              <w:rPr>
                <w:sz w:val="11"/>
                <w:szCs w:val="11"/>
                <w:color w:val="auto"/>
              </w:rPr>
            </w:pPr>
          </w:p>
        </w:tc>
        <w:tc>
          <w:tcPr>
            <w:tcW w:w="52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(2)%</w:t>
            </w:r>
          </w:p>
        </w:tc>
        <w:tc>
          <w:tcPr>
            <w:tcW w:w="46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3%</w:t>
            </w:r>
          </w:p>
        </w:tc>
        <w:tc>
          <w:tcPr>
            <w:tcW w:w="50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1%</w:t>
            </w:r>
          </w:p>
        </w:tc>
        <w:tc>
          <w:tcPr>
            <w:tcW w:w="40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0" w:type="dxa"/>
            <w:vAlign w:val="bottom"/>
          </w:tcPr>
          <w:p>
            <w:pPr>
              <w:jc w:val="right"/>
              <w:ind w:right="2601"/>
              <w:spacing w:after="0"/>
              <w:rPr>
                <w:sz w:val="20"/>
                <w:szCs w:val="20"/>
                <w:color w:val="auto"/>
              </w:rPr>
            </w:pPr>
            <w:r>
              <w:rPr>
                <w:rFonts w:ascii="Arial" w:cs="Arial" w:eastAsia="Arial" w:hAnsi="Arial"/>
                <w:sz w:val="12"/>
                <w:szCs w:val="12"/>
                <w:color w:val="auto"/>
              </w:rPr>
              <w:t>67</w:t>
            </w:r>
          </w:p>
        </w:tc>
        <w:tc>
          <w:tcPr>
            <w:tcW w:w="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40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38"/>
        </w:trPr>
        <w:tc>
          <w:tcPr>
            <w:tcW w:w="592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559"/>
        </w:trPr>
        <w:tc>
          <w:tcPr>
            <w:tcW w:w="9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center"/>
              <w:ind w:left="221"/>
              <w:spacing w:after="0"/>
              <w:rPr>
                <w:sz w:val="20"/>
                <w:szCs w:val="20"/>
                <w:color w:val="auto"/>
              </w:rPr>
            </w:pPr>
            <w:r>
              <w:rPr>
                <w:rFonts w:ascii="Arial" w:cs="Arial" w:eastAsia="Arial" w:hAnsi="Arial"/>
                <w:sz w:val="12"/>
                <w:szCs w:val="12"/>
                <w:color w:val="auto"/>
                <w:w w:val="95"/>
              </w:rPr>
              <w:t>Six</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center"/>
              <w:ind w:right="80"/>
              <w:spacing w:after="0" w:line="135" w:lineRule="exact"/>
              <w:rPr>
                <w:sz w:val="20"/>
                <w:szCs w:val="20"/>
                <w:color w:val="auto"/>
              </w:rPr>
            </w:pPr>
            <w:r>
              <w:rPr>
                <w:rFonts w:ascii="Arial" w:cs="Arial" w:eastAsia="Arial" w:hAnsi="Arial"/>
                <w:sz w:val="12"/>
                <w:szCs w:val="12"/>
                <w:color w:val="auto"/>
                <w:w w:val="96"/>
              </w:rPr>
              <w:t>Months</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7"/>
          </w:tcPr>
          <w:p>
            <w:pPr>
              <w:jc w:val="right"/>
              <w:ind w:right="220"/>
              <w:spacing w:after="0" w:line="135" w:lineRule="exact"/>
              <w:rPr>
                <w:sz w:val="20"/>
                <w:szCs w:val="20"/>
                <w:color w:val="auto"/>
              </w:rPr>
            </w:pPr>
            <w:r>
              <w:rPr>
                <w:rFonts w:ascii="Arial" w:cs="Arial" w:eastAsia="Arial" w:hAnsi="Arial"/>
                <w:sz w:val="12"/>
                <w:szCs w:val="12"/>
                <w:color w:val="auto"/>
              </w:rPr>
              <w:t>Year Ended</w:t>
            </w:r>
          </w:p>
        </w:tc>
        <w:tc>
          <w:tcPr>
            <w:tcW w:w="900" w:type="dxa"/>
            <w:vAlign w:val="bottom"/>
            <w:gridSpan w:val="4"/>
          </w:tcPr>
          <w:p>
            <w:pPr>
              <w:jc w:val="center"/>
              <w:ind w:right="80"/>
              <w:spacing w:after="0" w:line="135" w:lineRule="exact"/>
              <w:rPr>
                <w:sz w:val="20"/>
                <w:szCs w:val="20"/>
                <w:color w:val="auto"/>
              </w:rPr>
            </w:pPr>
            <w:r>
              <w:rPr>
                <w:rFonts w:ascii="Arial" w:cs="Arial" w:eastAsia="Arial" w:hAnsi="Arial"/>
                <w:sz w:val="12"/>
                <w:szCs w:val="12"/>
                <w:color w:val="auto"/>
                <w:w w:val="97"/>
              </w:rPr>
              <w:t>Ended</w:t>
            </w: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gridSpan w:val="6"/>
          </w:tcPr>
          <w:p>
            <w:pPr>
              <w:jc w:val="right"/>
              <w:ind w:right="40"/>
              <w:spacing w:after="0" w:line="133" w:lineRule="exact"/>
              <w:rPr>
                <w:sz w:val="20"/>
                <w:szCs w:val="20"/>
                <w:color w:val="auto"/>
              </w:rPr>
            </w:pPr>
            <w:r>
              <w:rPr>
                <w:rFonts w:ascii="Arial" w:cs="Arial" w:eastAsia="Arial" w:hAnsi="Arial"/>
                <w:sz w:val="12"/>
                <w:szCs w:val="12"/>
                <w:color w:val="auto"/>
              </w:rPr>
              <w:t>December 31,</w:t>
            </w:r>
          </w:p>
        </w:tc>
        <w:tc>
          <w:tcPr>
            <w:tcW w:w="12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left="1"/>
              <w:spacing w:after="0" w:line="133" w:lineRule="exact"/>
              <w:rPr>
                <w:sz w:val="20"/>
                <w:szCs w:val="20"/>
                <w:color w:val="auto"/>
              </w:rPr>
            </w:pPr>
            <w:r>
              <w:rPr>
                <w:rFonts w:ascii="Arial" w:cs="Arial" w:eastAsia="Arial" w:hAnsi="Arial"/>
                <w:sz w:val="12"/>
                <w:szCs w:val="12"/>
                <w:color w:val="auto"/>
                <w:w w:val="95"/>
              </w:rPr>
              <w:t>June 30,</w:t>
            </w:r>
          </w:p>
        </w:tc>
        <w:tc>
          <w:tcPr>
            <w:tcW w:w="120" w:type="dxa"/>
            <w:vAlign w:val="bottom"/>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2016</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74"/>
              </w:rPr>
              <w:t>2017</w:t>
            </w:r>
          </w:p>
        </w:tc>
        <w:tc>
          <w:tcPr>
            <w:tcW w:w="120" w:type="dxa"/>
            <w:vAlign w:val="bottom"/>
          </w:tcPr>
          <w:p>
            <w:pPr>
              <w:spacing w:after="0"/>
              <w:rPr>
                <w:sz w:val="12"/>
                <w:szCs w:val="12"/>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Additional Financial Data</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spacing w:after="0" w:line="135" w:lineRule="exact"/>
              <w:rPr>
                <w:sz w:val="20"/>
                <w:szCs w:val="20"/>
                <w:color w:val="auto"/>
              </w:rPr>
            </w:pPr>
            <w:r>
              <w:rPr>
                <w:rFonts w:ascii="Arial" w:cs="Arial" w:eastAsia="Arial" w:hAnsi="Arial"/>
                <w:sz w:val="12"/>
                <w:szCs w:val="12"/>
                <w:b w:val="1"/>
                <w:bCs w:val="1"/>
                <w:color w:val="auto"/>
              </w:rPr>
              <w:t>Revenue</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99%</w:t>
            </w:r>
          </w:p>
        </w:tc>
        <w:tc>
          <w:tcPr>
            <w:tcW w:w="5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99%</w:t>
            </w:r>
          </w:p>
        </w:tc>
        <w:tc>
          <w:tcPr>
            <w:tcW w:w="3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97%</w:t>
            </w:r>
          </w:p>
        </w:tc>
      </w:tr>
      <w:tr>
        <w:trPr>
          <w:trHeight w:val="135"/>
        </w:trPr>
        <w:tc>
          <w:tcPr>
            <w:tcW w:w="900" w:type="dxa"/>
            <w:vAlign w:val="bottom"/>
          </w:tcPr>
          <w:p>
            <w:pPr>
              <w:spacing w:after="0"/>
              <w:rPr>
                <w:sz w:val="11"/>
                <w:szCs w:val="11"/>
                <w:color w:val="auto"/>
              </w:rPr>
            </w:pPr>
          </w:p>
        </w:tc>
        <w:tc>
          <w:tcPr>
            <w:tcW w:w="50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International</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11"/>
                <w:szCs w:val="11"/>
                <w:color w:val="auto"/>
              </w:rPr>
            </w:pPr>
          </w:p>
        </w:tc>
        <w:tc>
          <w:tcPr>
            <w:tcW w:w="2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w:t>
            </w:r>
          </w:p>
        </w:tc>
        <w:tc>
          <w:tcPr>
            <w:tcW w:w="120" w:type="dxa"/>
            <w:vAlign w:val="bottom"/>
          </w:tcPr>
          <w:p>
            <w:pPr>
              <w:spacing w:after="0"/>
              <w:rPr>
                <w:sz w:val="11"/>
                <w:szCs w:val="11"/>
                <w:color w:val="auto"/>
              </w:rPr>
            </w:pPr>
          </w:p>
        </w:tc>
      </w:tr>
      <w:tr>
        <w:trPr>
          <w:trHeight w:val="131"/>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560" w:type="dxa"/>
            <w:vAlign w:val="bottom"/>
            <w:tcBorders>
              <w:right w:val="single" w:sz="8" w:color="CCEEFF"/>
            </w:tcBorders>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100%</w:t>
            </w: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w w:val="97"/>
              </w:rPr>
              <w:t>100%</w:t>
            </w:r>
          </w:p>
        </w:tc>
      </w:tr>
      <w:tr>
        <w:trPr>
          <w:trHeight w:val="135"/>
        </w:trPr>
        <w:tc>
          <w:tcPr>
            <w:tcW w:w="900" w:type="dxa"/>
            <w:vAlign w:val="bottom"/>
          </w:tcPr>
          <w:p>
            <w:pPr>
              <w:spacing w:after="0"/>
              <w:rPr>
                <w:sz w:val="11"/>
                <w:szCs w:val="11"/>
                <w:color w:val="auto"/>
              </w:rPr>
            </w:pPr>
          </w:p>
        </w:tc>
        <w:tc>
          <w:tcPr>
            <w:tcW w:w="50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(Loss) income from Operations</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w w:val="96"/>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14%</w:t>
            </w:r>
          </w:p>
        </w:tc>
        <w:tc>
          <w:tcPr>
            <w:tcW w:w="5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w:t>
            </w:r>
          </w:p>
        </w:tc>
        <w:tc>
          <w:tcPr>
            <w:tcW w:w="3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17%</w:t>
            </w:r>
          </w:p>
        </w:tc>
      </w:tr>
      <w:tr>
        <w:trPr>
          <w:trHeight w:val="135"/>
        </w:trPr>
        <w:tc>
          <w:tcPr>
            <w:tcW w:w="900" w:type="dxa"/>
            <w:vAlign w:val="bottom"/>
          </w:tcPr>
          <w:p>
            <w:pPr>
              <w:spacing w:after="0"/>
              <w:rPr>
                <w:sz w:val="11"/>
                <w:szCs w:val="11"/>
                <w:color w:val="auto"/>
              </w:rPr>
            </w:pPr>
          </w:p>
        </w:tc>
        <w:tc>
          <w:tcPr>
            <w:tcW w:w="50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International</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w:t>
            </w: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4%</w:t>
            </w:r>
          </w:p>
        </w:tc>
        <w:tc>
          <w:tcPr>
            <w:tcW w:w="560" w:type="dxa"/>
            <w:vAlign w:val="bottom"/>
            <w:tcBorders>
              <w:right w:val="single" w:sz="8" w:color="CCEEFF"/>
            </w:tcBorders>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1%</w:t>
            </w: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9%</w:t>
            </w:r>
          </w:p>
        </w:tc>
      </w:tr>
      <w:tr>
        <w:trPr>
          <w:trHeight w:val="286"/>
        </w:trPr>
        <w:tc>
          <w:tcPr>
            <w:tcW w:w="5920" w:type="dxa"/>
            <w:vAlign w:val="bottom"/>
            <w:gridSpan w:val="3"/>
          </w:tcPr>
          <w:p>
            <w:pPr>
              <w:spacing w:after="0"/>
              <w:rPr>
                <w:sz w:val="20"/>
                <w:szCs w:val="20"/>
                <w:color w:val="auto"/>
              </w:rPr>
            </w:pPr>
            <w:r>
              <w:rPr>
                <w:rFonts w:ascii="Arial" w:cs="Arial" w:eastAsia="Arial" w:hAnsi="Arial"/>
                <w:sz w:val="12"/>
                <w:szCs w:val="12"/>
                <w:b w:val="1"/>
                <w:bCs w:val="1"/>
                <w:color w:val="auto"/>
              </w:rPr>
              <w:t>Six Months Ended June 30, 2016 Compared to Six Months Ended June 30, 2017</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592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Revenue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5920" w:type="dxa"/>
            <w:vAlign w:val="bottom"/>
            <w:gridSpan w:val="3"/>
          </w:tcPr>
          <w:p>
            <w:pPr>
              <w:spacing w:after="0"/>
              <w:rPr>
                <w:sz w:val="20"/>
                <w:szCs w:val="20"/>
                <w:color w:val="auto"/>
              </w:rPr>
            </w:pPr>
            <w:r>
              <w:rPr>
                <w:rFonts w:ascii="Arial" w:cs="Arial" w:eastAsia="Arial" w:hAnsi="Arial"/>
                <w:sz w:val="12"/>
                <w:szCs w:val="12"/>
                <w:i w:val="1"/>
                <w:iCs w:val="1"/>
                <w:color w:val="auto"/>
              </w:rPr>
              <w:t>Revenue by Source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4"/>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6"/>
          </w:tcPr>
          <w:p>
            <w:pPr>
              <w:jc w:val="right"/>
              <w:ind w:right="240"/>
              <w:spacing w:after="0"/>
              <w:rPr>
                <w:sz w:val="20"/>
                <w:szCs w:val="20"/>
                <w:color w:val="auto"/>
              </w:rPr>
            </w:pPr>
            <w:r>
              <w:rPr>
                <w:rFonts w:ascii="Arial" w:cs="Arial" w:eastAsia="Arial" w:hAnsi="Arial"/>
                <w:sz w:val="12"/>
                <w:szCs w:val="12"/>
                <w:color w:val="auto"/>
              </w:rPr>
              <w:t>Six Months</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6"/>
          </w:tcPr>
          <w:p>
            <w:pPr>
              <w:jc w:val="right"/>
              <w:ind w:right="120"/>
              <w:spacing w:after="0" w:line="133" w:lineRule="exact"/>
              <w:rPr>
                <w:sz w:val="20"/>
                <w:szCs w:val="20"/>
                <w:color w:val="auto"/>
              </w:rPr>
            </w:pPr>
            <w:r>
              <w:rPr>
                <w:rFonts w:ascii="Arial" w:cs="Arial" w:eastAsia="Arial" w:hAnsi="Arial"/>
                <w:sz w:val="12"/>
                <w:szCs w:val="12"/>
                <w:color w:val="auto"/>
              </w:rPr>
              <w:t>Ended June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center"/>
              <w:ind w:right="100"/>
              <w:spacing w:after="0" w:line="133" w:lineRule="exact"/>
              <w:rPr>
                <w:sz w:val="20"/>
                <w:szCs w:val="20"/>
                <w:color w:val="auto"/>
              </w:rPr>
            </w:pPr>
            <w:r>
              <w:rPr>
                <w:rFonts w:ascii="Arial" w:cs="Arial" w:eastAsia="Arial" w:hAnsi="Arial"/>
                <w:sz w:val="12"/>
                <w:szCs w:val="12"/>
                <w:color w:val="auto"/>
                <w:w w:val="95"/>
              </w:rPr>
              <w:t>Change</w:t>
            </w: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2"/>
                <w:szCs w:val="12"/>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10"/>
          </w:tcPr>
          <w:p>
            <w:pPr>
              <w:jc w:val="right"/>
              <w:ind w:right="480"/>
              <w:spacing w:after="0"/>
              <w:rPr>
                <w:sz w:val="20"/>
                <w:szCs w:val="20"/>
                <w:color w:val="auto"/>
              </w:rPr>
            </w:pPr>
            <w:r>
              <w:rPr>
                <w:rFonts w:ascii="Arial" w:cs="Arial" w:eastAsia="Arial" w:hAnsi="Arial"/>
                <w:sz w:val="12"/>
                <w:szCs w:val="12"/>
                <w:color w:val="auto"/>
                <w:w w:val="99"/>
              </w:rPr>
              <w:t>(dollars 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w:t>
            </w: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50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Marketplace subscription</w:t>
            </w:r>
          </w:p>
        </w:tc>
        <w:tc>
          <w:tcPr>
            <w:tcW w:w="1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71,638</w:t>
            </w:r>
          </w:p>
        </w:tc>
        <w:tc>
          <w:tcPr>
            <w:tcW w:w="1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gridSpan w:val="5"/>
          </w:tcPr>
          <w:p>
            <w:pPr>
              <w:jc w:val="right"/>
              <w:spacing w:after="0" w:line="135" w:lineRule="exact"/>
              <w:rPr>
                <w:sz w:val="20"/>
                <w:szCs w:val="20"/>
                <w:color w:val="auto"/>
              </w:rPr>
            </w:pPr>
            <w:r>
              <w:rPr>
                <w:rFonts w:ascii="Arial" w:cs="Arial" w:eastAsia="Arial" w:hAnsi="Arial"/>
                <w:sz w:val="12"/>
                <w:szCs w:val="12"/>
                <w:color w:val="auto"/>
              </w:rPr>
              <w:t>127,952</w:t>
            </w:r>
          </w:p>
        </w:tc>
        <w:tc>
          <w:tcPr>
            <w:tcW w:w="2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56,314</w:t>
            </w:r>
          </w:p>
        </w:tc>
        <w:tc>
          <w:tcPr>
            <w:tcW w:w="3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79%</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Advertising and other</w:t>
            </w:r>
          </w:p>
        </w:tc>
        <w:tc>
          <w:tcPr>
            <w:tcW w:w="15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12,603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gridSpan w:val="5"/>
            <w:shd w:val="clear" w:color="auto" w:fill="CCEEFF"/>
          </w:tcPr>
          <w:p>
            <w:pPr>
              <w:jc w:val="right"/>
              <w:spacing w:after="0" w:line="135" w:lineRule="exact"/>
              <w:rPr>
                <w:sz w:val="20"/>
                <w:szCs w:val="20"/>
                <w:color w:val="auto"/>
              </w:rPr>
            </w:pPr>
            <w:r>
              <w:rPr>
                <w:rFonts w:ascii="Arial" w:cs="Arial" w:eastAsia="Arial" w:hAnsi="Arial"/>
                <w:sz w:val="12"/>
                <w:szCs w:val="12"/>
                <w:color w:val="auto"/>
              </w:rPr>
              <w:t>15,323</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2,720</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1"/>
                <w:szCs w:val="11"/>
                <w:color w:val="auto"/>
              </w:rPr>
            </w:pPr>
          </w:p>
        </w:tc>
      </w:tr>
      <w:tr>
        <w:trPr>
          <w:trHeight w:val="124"/>
        </w:trPr>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780" w:type="dxa"/>
            <w:vAlign w:val="bottom"/>
          </w:tcPr>
          <w:p>
            <w:pPr>
              <w:ind w:left="120"/>
              <w:spacing w:after="0" w:line="124" w:lineRule="exact"/>
              <w:rPr>
                <w:sz w:val="20"/>
                <w:szCs w:val="20"/>
                <w:color w:val="auto"/>
              </w:rPr>
            </w:pPr>
            <w:r>
              <w:rPr>
                <w:rFonts w:ascii="Arial" w:cs="Arial" w:eastAsia="Arial" w:hAnsi="Arial"/>
                <w:sz w:val="12"/>
                <w:szCs w:val="12"/>
                <w:color w:val="auto"/>
              </w:rPr>
              <w:t>Total</w:t>
            </w:r>
          </w:p>
        </w:tc>
        <w:tc>
          <w:tcPr>
            <w:tcW w:w="174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4" w:lineRule="exact"/>
              <w:rPr>
                <w:sz w:val="20"/>
                <w:szCs w:val="20"/>
                <w:color w:val="auto"/>
              </w:rPr>
            </w:pPr>
            <w:r>
              <w:rPr>
                <w:rFonts w:ascii="Arial" w:cs="Arial" w:eastAsia="Arial" w:hAnsi="Arial"/>
                <w:sz w:val="12"/>
                <w:szCs w:val="12"/>
                <w:color w:val="auto"/>
              </w:rPr>
              <w:t>84,241</w:t>
            </w:r>
          </w:p>
        </w:tc>
        <w:tc>
          <w:tcPr>
            <w:tcW w:w="100" w:type="dxa"/>
            <w:vAlign w:val="bottom"/>
          </w:tcPr>
          <w:p>
            <w:pPr>
              <w:spacing w:after="0"/>
              <w:rPr>
                <w:sz w:val="10"/>
                <w:szCs w:val="10"/>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2"/>
                <w:szCs w:val="12"/>
                <w:color w:val="auto"/>
                <w:w w:val="89"/>
              </w:rPr>
              <w:t>$</w:t>
            </w:r>
          </w:p>
        </w:tc>
        <w:tc>
          <w:tcPr>
            <w:tcW w:w="700" w:type="dxa"/>
            <w:vAlign w:val="bottom"/>
            <w:gridSpan w:val="5"/>
          </w:tcPr>
          <w:p>
            <w:pPr>
              <w:jc w:val="right"/>
              <w:spacing w:after="0" w:line="124" w:lineRule="exact"/>
              <w:rPr>
                <w:sz w:val="20"/>
                <w:szCs w:val="20"/>
                <w:color w:val="auto"/>
              </w:rPr>
            </w:pPr>
            <w:r>
              <w:rPr>
                <w:rFonts w:ascii="Arial" w:cs="Arial" w:eastAsia="Arial" w:hAnsi="Arial"/>
                <w:sz w:val="12"/>
                <w:szCs w:val="12"/>
                <w:color w:val="auto"/>
              </w:rPr>
              <w:t>143,275</w:t>
            </w:r>
          </w:p>
        </w:tc>
        <w:tc>
          <w:tcPr>
            <w:tcW w:w="2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59,034</w:t>
            </w: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70%</w:t>
            </w:r>
          </w:p>
        </w:tc>
      </w:tr>
      <w:tr>
        <w:trPr>
          <w:trHeight w:val="270"/>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Percentage of total revenue:</w:t>
            </w: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35"/>
        </w:trPr>
        <w:tc>
          <w:tcPr>
            <w:tcW w:w="900" w:type="dxa"/>
            <w:vAlign w:val="bottom"/>
          </w:tcPr>
          <w:p>
            <w:pPr>
              <w:spacing w:after="0"/>
              <w:rPr>
                <w:sz w:val="11"/>
                <w:szCs w:val="11"/>
                <w:color w:val="auto"/>
              </w:rPr>
            </w:pPr>
          </w:p>
        </w:tc>
        <w:tc>
          <w:tcPr>
            <w:tcW w:w="50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Marketplace subscription</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3"/>
          </w:tcPr>
          <w:p>
            <w:pPr>
              <w:jc w:val="right"/>
              <w:spacing w:after="0" w:line="135" w:lineRule="exact"/>
              <w:rPr>
                <w:sz w:val="20"/>
                <w:szCs w:val="20"/>
                <w:color w:val="auto"/>
              </w:rPr>
            </w:pPr>
            <w:r>
              <w:rPr>
                <w:rFonts w:ascii="Arial" w:cs="Arial" w:eastAsia="Arial" w:hAnsi="Arial"/>
                <w:sz w:val="12"/>
                <w:szCs w:val="12"/>
                <w:color w:val="auto"/>
                <w:w w:val="91"/>
              </w:rPr>
              <w:t>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Advertising and other</w:t>
            </w:r>
          </w:p>
        </w:tc>
        <w:tc>
          <w:tcPr>
            <w:tcW w:w="15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1"/>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80" w:type="dxa"/>
            <w:vAlign w:val="bottom"/>
          </w:tcPr>
          <w:p>
            <w:pPr>
              <w:ind w:left="120"/>
              <w:spacing w:after="0" w:line="132" w:lineRule="exact"/>
              <w:rPr>
                <w:sz w:val="20"/>
                <w:szCs w:val="20"/>
                <w:color w:val="auto"/>
              </w:rPr>
            </w:pPr>
            <w:r>
              <w:rPr>
                <w:rFonts w:ascii="Arial" w:cs="Arial" w:eastAsia="Arial" w:hAnsi="Arial"/>
                <w:sz w:val="12"/>
                <w:szCs w:val="12"/>
                <w:color w:val="auto"/>
              </w:rPr>
              <w:t>Total</w:t>
            </w: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100%</w:t>
            </w:r>
          </w:p>
        </w:tc>
        <w:tc>
          <w:tcPr>
            <w:tcW w:w="100" w:type="dxa"/>
            <w:vAlign w:val="bottom"/>
          </w:tcPr>
          <w:p>
            <w:pPr>
              <w:spacing w:after="0"/>
              <w:rPr>
                <w:sz w:val="11"/>
                <w:szCs w:val="11"/>
                <w:color w:val="auto"/>
              </w:rPr>
            </w:pPr>
          </w:p>
        </w:tc>
        <w:tc>
          <w:tcPr>
            <w:tcW w:w="820" w:type="dxa"/>
            <w:vAlign w:val="bottom"/>
            <w:gridSpan w:val="6"/>
          </w:tcPr>
          <w:p>
            <w:pPr>
              <w:jc w:val="right"/>
              <w:spacing w:after="0" w:line="132" w:lineRule="exact"/>
              <w:rPr>
                <w:sz w:val="20"/>
                <w:szCs w:val="20"/>
                <w:color w:val="auto"/>
              </w:rPr>
            </w:pPr>
            <w:r>
              <w:rPr>
                <w:rFonts w:ascii="Arial" w:cs="Arial" w:eastAsia="Arial" w:hAnsi="Arial"/>
                <w:sz w:val="12"/>
                <w:szCs w:val="12"/>
                <w:color w:val="auto"/>
              </w:rPr>
              <w:t>100%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139" w:lineRule="exact"/>
        <w:rPr>
          <w:sz w:val="20"/>
          <w:szCs w:val="20"/>
          <w:color w:val="auto"/>
        </w:rPr>
      </w:pPr>
    </w:p>
    <w:p>
      <w:pPr>
        <w:ind w:right="80" w:firstLine="326"/>
        <w:spacing w:after="0" w:line="239" w:lineRule="auto"/>
        <w:rPr>
          <w:sz w:val="20"/>
          <w:szCs w:val="20"/>
          <w:color w:val="auto"/>
        </w:rPr>
      </w:pPr>
      <w:r>
        <w:rPr>
          <w:rFonts w:ascii="Arial" w:cs="Arial" w:eastAsia="Arial" w:hAnsi="Arial"/>
          <w:sz w:val="12"/>
          <w:szCs w:val="12"/>
          <w:color w:val="auto"/>
        </w:rPr>
        <w:t>Overall revenue increased by $59.0 million, or 70%, in the six months ended June 30, 2017 compared to the six months ended June 30, 2016. Marketplace subscription revenue grew by 79%, while advertising and other revenue grew by 22%.</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Marketplace subscription revenue increased by $56.3 million in the six months ended June 30, 2017 compared to the six months ended June 30, 2016, and represented 89% of total revenue in the six months ended June 30, 2017, as compared to 85% of total revenue in the six months ended June 30, 2016. This increase in marketplace subscription revenue was attributable primarily to a 45% growth in the number of paying dealers, from 17,250 as of June 30, 2016 to 25,041 as of June 30, 2017, and to a 16% growth in our U.S. AARSD from $9,510 as of June 30, 2016 to $11,048 as of June 30, 2017. We believe that this increase in paying dealers was driven by the overall growth in the number of unique users to our website and mobile application and the continued efforts from our sales and marketing teams to convert Basic Listing dealers to Enhanced and Featured Listing paying dealers.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19" w:right="27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1"/>
          <w:szCs w:val="11"/>
          <w:color w:val="auto"/>
        </w:rPr>
        <w:t>Advertising and other revenue increased $2.7 million in the six months ended June 30, 2017 compared to the six months ended June 30, 2016, and represented 11% of total revenue in the six months ended June 30, 2017, compared to 15% of total revenue in the six months ended June 30, 2016. The increase in advertising and other revenue is due primarily to a 29% increase in the number of impressions delivered and a 16% increase in the average price per thousand impressions in the six months ended June 30, 2017 compared to the six months ended June 30, 2016. These increases were partially offset by a reduction in other advertising revenue.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by Segment</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2"/>
                <w:szCs w:val="12"/>
                <w:color w:val="auto"/>
              </w:rPr>
              <w:t>Six Months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9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5"/>
          </w:tcPr>
          <w:p>
            <w:pPr>
              <w:jc w:val="right"/>
              <w:ind w:right="360"/>
              <w:spacing w:after="0" w:line="133" w:lineRule="exact"/>
              <w:rPr>
                <w:sz w:val="20"/>
                <w:szCs w:val="20"/>
                <w:color w:val="auto"/>
              </w:rPr>
            </w:pPr>
            <w:r>
              <w:rPr>
                <w:rFonts w:ascii="Arial" w:cs="Arial" w:eastAsia="Arial" w:hAnsi="Arial"/>
                <w:sz w:val="12"/>
                <w:szCs w:val="12"/>
                <w:color w:val="auto"/>
              </w:rPr>
              <w:t>Ended June 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ind w:left="30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9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7"/>
          </w:tcPr>
          <w:p>
            <w:pPr>
              <w:ind w:left="4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w:t>
            </w:r>
          </w:p>
        </w:tc>
        <w:tc>
          <w:tcPr>
            <w:tcW w:w="2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920" w:type="dxa"/>
            <w:vAlign w:val="bottom"/>
            <w:gridSpan w:val="2"/>
          </w:tcPr>
          <w:p>
            <w:pPr>
              <w:spacing w:after="0" w:line="135" w:lineRule="exact"/>
              <w:rPr>
                <w:sz w:val="20"/>
                <w:szCs w:val="20"/>
                <w:color w:val="auto"/>
              </w:rPr>
            </w:pPr>
            <w:r>
              <w:rPr>
                <w:rFonts w:ascii="Arial" w:cs="Arial" w:eastAsia="Arial" w:hAnsi="Arial"/>
                <w:sz w:val="12"/>
                <w:szCs w:val="12"/>
                <w:color w:val="auto"/>
              </w:rPr>
              <w:t>United States</w:t>
            </w:r>
          </w:p>
        </w:tc>
        <w:tc>
          <w:tcPr>
            <w:tcW w:w="25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83,760</w:t>
            </w:r>
          </w:p>
        </w:tc>
        <w:tc>
          <w:tcPr>
            <w:tcW w:w="10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139,560</w:t>
            </w:r>
          </w:p>
        </w:tc>
        <w:tc>
          <w:tcPr>
            <w:tcW w:w="100" w:type="dxa"/>
            <w:vAlign w:val="bottom"/>
          </w:tcPr>
          <w:p>
            <w:pPr>
              <w:spacing w:after="0"/>
              <w:rPr>
                <w:sz w:val="11"/>
                <w:szCs w:val="11"/>
                <w:color w:val="auto"/>
              </w:rPr>
            </w:pPr>
          </w:p>
        </w:tc>
        <w:tc>
          <w:tcPr>
            <w:tcW w:w="2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55,800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67%</w:t>
            </w:r>
          </w:p>
        </w:tc>
      </w:tr>
      <w:tr>
        <w:trPr>
          <w:trHeight w:val="135"/>
        </w:trPr>
        <w:tc>
          <w:tcPr>
            <w:tcW w:w="3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International</w:t>
            </w:r>
          </w:p>
        </w:tc>
        <w:tc>
          <w:tcPr>
            <w:tcW w:w="2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3,715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3,234</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NM</w:t>
            </w:r>
          </w:p>
        </w:tc>
        <w:tc>
          <w:tcPr>
            <w:tcW w:w="120" w:type="dxa"/>
            <w:vAlign w:val="bottom"/>
            <w:shd w:val="clear" w:color="auto" w:fill="CCEEFF"/>
          </w:tcPr>
          <w:p>
            <w:pPr>
              <w:spacing w:after="0"/>
              <w:rPr>
                <w:sz w:val="11"/>
                <w:szCs w:val="11"/>
                <w:color w:val="auto"/>
              </w:rPr>
            </w:pPr>
          </w:p>
        </w:tc>
      </w:tr>
      <w:tr>
        <w:trPr>
          <w:trHeight w:val="131"/>
        </w:trPr>
        <w:tc>
          <w:tcPr>
            <w:tcW w:w="3920" w:type="dxa"/>
            <w:vAlign w:val="bottom"/>
            <w:gridSpan w:val="2"/>
          </w:tcPr>
          <w:p>
            <w:pPr>
              <w:ind w:left="120"/>
              <w:spacing w:after="0" w:line="124" w:lineRule="exact"/>
              <w:rPr>
                <w:sz w:val="20"/>
                <w:szCs w:val="20"/>
                <w:color w:val="auto"/>
              </w:rPr>
            </w:pPr>
            <w:r>
              <w:rPr>
                <w:rFonts w:ascii="Arial" w:cs="Arial" w:eastAsia="Arial" w:hAnsi="Arial"/>
                <w:sz w:val="12"/>
                <w:szCs w:val="12"/>
                <w:color w:val="auto"/>
              </w:rPr>
              <w:t>Total</w:t>
            </w:r>
          </w:p>
        </w:tc>
        <w:tc>
          <w:tcPr>
            <w:tcW w:w="254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84,241</w:t>
            </w:r>
          </w:p>
        </w:tc>
        <w:tc>
          <w:tcPr>
            <w:tcW w:w="10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line="124" w:lineRule="exact"/>
              <w:rPr>
                <w:sz w:val="20"/>
                <w:szCs w:val="20"/>
                <w:color w:val="auto"/>
              </w:rPr>
            </w:pPr>
            <w:r>
              <w:rPr>
                <w:rFonts w:ascii="Arial" w:cs="Arial" w:eastAsia="Arial" w:hAnsi="Arial"/>
                <w:sz w:val="12"/>
                <w:szCs w:val="12"/>
                <w:color w:val="auto"/>
              </w:rPr>
              <w:t>143,275</w:t>
            </w:r>
          </w:p>
        </w:tc>
        <w:tc>
          <w:tcPr>
            <w:tcW w:w="100" w:type="dxa"/>
            <w:vAlign w:val="bottom"/>
          </w:tcPr>
          <w:p>
            <w:pPr>
              <w:spacing w:after="0"/>
              <w:rPr>
                <w:sz w:val="11"/>
                <w:szCs w:val="11"/>
                <w:color w:val="auto"/>
              </w:rPr>
            </w:pPr>
          </w:p>
        </w:tc>
        <w:tc>
          <w:tcPr>
            <w:tcW w:w="20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59,034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70%</w:t>
            </w:r>
          </w:p>
        </w:tc>
      </w:tr>
      <w:tr>
        <w:trPr>
          <w:trHeight w:val="270"/>
        </w:trPr>
        <w:tc>
          <w:tcPr>
            <w:tcW w:w="39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Percentage of total revenue:</w:t>
            </w:r>
          </w:p>
        </w:tc>
        <w:tc>
          <w:tcPr>
            <w:tcW w:w="2340" w:type="dxa"/>
            <w:vAlign w:val="bottom"/>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35"/>
        </w:trPr>
        <w:tc>
          <w:tcPr>
            <w:tcW w:w="3920" w:type="dxa"/>
            <w:vAlign w:val="bottom"/>
            <w:gridSpan w:val="2"/>
          </w:tcPr>
          <w:p>
            <w:pPr>
              <w:spacing w:after="0" w:line="135" w:lineRule="exact"/>
              <w:rPr>
                <w:sz w:val="20"/>
                <w:szCs w:val="20"/>
                <w:color w:val="auto"/>
              </w:rPr>
            </w:pPr>
            <w:r>
              <w:rPr>
                <w:rFonts w:ascii="Arial" w:cs="Arial" w:eastAsia="Arial" w:hAnsi="Arial"/>
                <w:sz w:val="12"/>
                <w:szCs w:val="12"/>
                <w:color w:val="auto"/>
              </w:rPr>
              <w:t>United States</w:t>
            </w: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99%</w:t>
            </w: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International</w:t>
            </w:r>
          </w:p>
        </w:tc>
        <w:tc>
          <w:tcPr>
            <w:tcW w:w="23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1"/>
        </w:trPr>
        <w:tc>
          <w:tcPr>
            <w:tcW w:w="3920" w:type="dxa"/>
            <w:vAlign w:val="bottom"/>
            <w:gridSpan w:val="2"/>
          </w:tcPr>
          <w:p>
            <w:pPr>
              <w:ind w:left="120"/>
              <w:spacing w:after="0" w:line="124" w:lineRule="exact"/>
              <w:rPr>
                <w:sz w:val="20"/>
                <w:szCs w:val="20"/>
                <w:color w:val="auto"/>
              </w:rPr>
            </w:pPr>
            <w:r>
              <w:rPr>
                <w:rFonts w:ascii="Arial" w:cs="Arial" w:eastAsia="Arial" w:hAnsi="Arial"/>
                <w:sz w:val="12"/>
                <w:szCs w:val="12"/>
                <w:color w:val="auto"/>
              </w:rPr>
              <w:t>Total</w:t>
            </w:r>
          </w:p>
        </w:tc>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100%</w:t>
            </w:r>
          </w:p>
        </w:tc>
        <w:tc>
          <w:tcPr>
            <w:tcW w:w="120" w:type="dxa"/>
            <w:vAlign w:val="bottom"/>
          </w:tcPr>
          <w:p>
            <w:pPr>
              <w:spacing w:after="0"/>
              <w:rPr>
                <w:sz w:val="11"/>
                <w:szCs w:val="11"/>
                <w:color w:val="auto"/>
              </w:rPr>
            </w:pPr>
          </w:p>
        </w:tc>
        <w:tc>
          <w:tcPr>
            <w:tcW w:w="76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72"/>
        </w:trPr>
        <w:tc>
          <w:tcPr>
            <w:tcW w:w="940" w:type="dxa"/>
            <w:vAlign w:val="bottom"/>
            <w:tcBorders>
              <w:bottom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U.S. revenue increased $55.8 million, or 67%, in the six months ended June 30, 2017 compared to the six months ended June 30, 2016, due primarily to a 38% increase in the number of U.S. paying dealers.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International revenue increased $3.2 million in the six months ended June 30, 2017 compared to the six months ended June 30, 2016, due primarily to a 454% increase in the number of international paying dealers.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6"/>
          </w:tcPr>
          <w:p>
            <w:pPr>
              <w:jc w:val="right"/>
              <w:ind w:right="380"/>
              <w:spacing w:after="0"/>
              <w:rPr>
                <w:sz w:val="20"/>
                <w:szCs w:val="20"/>
                <w:color w:val="auto"/>
              </w:rPr>
            </w:pPr>
            <w:r>
              <w:rPr>
                <w:rFonts w:ascii="Arial" w:cs="Arial" w:eastAsia="Arial" w:hAnsi="Arial"/>
                <w:sz w:val="12"/>
                <w:szCs w:val="12"/>
                <w:color w:val="auto"/>
              </w:rPr>
              <w:t>Six Months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6"/>
          </w:tcPr>
          <w:p>
            <w:pPr>
              <w:jc w:val="right"/>
              <w:ind w:right="260"/>
              <w:spacing w:after="0" w:line="133" w:lineRule="exact"/>
              <w:rPr>
                <w:sz w:val="20"/>
                <w:szCs w:val="20"/>
                <w:color w:val="auto"/>
              </w:rPr>
            </w:pPr>
            <w:r>
              <w:rPr>
                <w:rFonts w:ascii="Arial" w:cs="Arial" w:eastAsia="Arial" w:hAnsi="Arial"/>
                <w:sz w:val="12"/>
                <w:szCs w:val="12"/>
                <w:color w:val="auto"/>
              </w:rPr>
              <w:t>Ended June 30,</w:t>
            </w:r>
          </w:p>
        </w:tc>
        <w:tc>
          <w:tcPr>
            <w:tcW w:w="160" w:type="dxa"/>
            <w:vAlign w:val="bottom"/>
          </w:tcPr>
          <w:p>
            <w:pPr>
              <w:spacing w:after="0"/>
              <w:rPr>
                <w:sz w:val="11"/>
                <w:szCs w:val="11"/>
                <w:color w:val="auto"/>
              </w:rPr>
            </w:pPr>
          </w:p>
        </w:tc>
        <w:tc>
          <w:tcPr>
            <w:tcW w:w="720" w:type="dxa"/>
            <w:vAlign w:val="bottom"/>
            <w:gridSpan w:val="3"/>
          </w:tcPr>
          <w:p>
            <w:pPr>
              <w:ind w:left="30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ind w:left="2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Cost of revenue</w:t>
            </w:r>
          </w:p>
        </w:tc>
        <w:tc>
          <w:tcPr>
            <w:tcW w:w="21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3,819</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7,647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91"/>
              </w:rPr>
              <w:t>100%</w:t>
            </w:r>
          </w:p>
        </w:tc>
      </w:tr>
      <w:tr>
        <w:trPr>
          <w:trHeight w:val="142"/>
        </w:trPr>
        <w:tc>
          <w:tcPr>
            <w:tcW w:w="3380" w:type="dxa"/>
            <w:vAlign w:val="bottom"/>
          </w:tcPr>
          <w:p>
            <w:pPr>
              <w:spacing w:after="0"/>
              <w:rPr>
                <w:sz w:val="20"/>
                <w:szCs w:val="20"/>
                <w:color w:val="auto"/>
              </w:rPr>
            </w:pPr>
            <w:r>
              <w:rPr>
                <w:rFonts w:ascii="Arial" w:cs="Arial" w:eastAsia="Arial" w:hAnsi="Arial"/>
                <w:sz w:val="12"/>
                <w:szCs w:val="12"/>
                <w:color w:val="auto"/>
              </w:rPr>
              <w:t>Percentage of total revenue</w:t>
            </w: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160" w:firstLine="326"/>
        <w:spacing w:after="0" w:line="239" w:lineRule="auto"/>
        <w:rPr>
          <w:sz w:val="20"/>
          <w:szCs w:val="20"/>
          <w:color w:val="auto"/>
        </w:rPr>
      </w:pPr>
      <w:r>
        <w:rPr>
          <w:rFonts w:ascii="Arial" w:cs="Arial" w:eastAsia="Arial" w:hAnsi="Arial"/>
          <w:sz w:val="12"/>
          <w:szCs w:val="12"/>
          <w:color w:val="auto"/>
        </w:rPr>
        <w:t>Cost of revenue increased $3.8 million, or 100%, in the six months ended June 30, 2017 compared to the six months ended June 30, 2016, due primarily to costs associated with servicing our revenue growth. Key drivers of the increase included employee-related costs of our customer support team to support the growth in customers and an increase in fees related to servicing our growing advertising revenue.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and Marketing Expenses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2"/>
                <w:szCs w:val="12"/>
                <w:color w:val="auto"/>
              </w:rPr>
              <w:t>Six Months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5"/>
          </w:tcPr>
          <w:p>
            <w:pPr>
              <w:jc w:val="right"/>
              <w:ind w:right="360"/>
              <w:spacing w:after="0" w:line="133" w:lineRule="exact"/>
              <w:rPr>
                <w:sz w:val="20"/>
                <w:szCs w:val="20"/>
                <w:color w:val="auto"/>
              </w:rPr>
            </w:pPr>
            <w:r>
              <w:rPr>
                <w:rFonts w:ascii="Arial" w:cs="Arial" w:eastAsia="Arial" w:hAnsi="Arial"/>
                <w:sz w:val="12"/>
                <w:szCs w:val="12"/>
                <w:color w:val="auto"/>
              </w:rPr>
              <w:t>Ended June 30,</w:t>
            </w:r>
          </w:p>
        </w:tc>
        <w:tc>
          <w:tcPr>
            <w:tcW w:w="160" w:type="dxa"/>
            <w:vAlign w:val="bottom"/>
          </w:tcPr>
          <w:p>
            <w:pPr>
              <w:spacing w:after="0"/>
              <w:rPr>
                <w:sz w:val="11"/>
                <w:szCs w:val="11"/>
                <w:color w:val="auto"/>
              </w:rPr>
            </w:pPr>
          </w:p>
        </w:tc>
        <w:tc>
          <w:tcPr>
            <w:tcW w:w="700" w:type="dxa"/>
            <w:vAlign w:val="bottom"/>
            <w:gridSpan w:val="3"/>
          </w:tcPr>
          <w:p>
            <w:pPr>
              <w:ind w:left="280"/>
              <w:spacing w:after="0" w:line="133" w:lineRule="exact"/>
              <w:rPr>
                <w:sz w:val="20"/>
                <w:szCs w:val="20"/>
                <w:color w:val="auto"/>
              </w:rPr>
            </w:pPr>
            <w:r>
              <w:rPr>
                <w:rFonts w:ascii="Arial" w:cs="Arial" w:eastAsia="Arial" w:hAnsi="Arial"/>
                <w:sz w:val="12"/>
                <w:szCs w:val="12"/>
                <w:color w:val="auto"/>
                <w:w w:val="95"/>
              </w:rPr>
              <w:t>Change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ind w:left="20"/>
              <w:spacing w:after="0"/>
              <w:rPr>
                <w:sz w:val="20"/>
                <w:szCs w:val="20"/>
                <w:color w:val="auto"/>
              </w:rPr>
            </w:pPr>
            <w:r>
              <w:rPr>
                <w:rFonts w:ascii="Arial" w:cs="Arial" w:eastAsia="Arial" w:hAnsi="Arial"/>
                <w:sz w:val="12"/>
                <w:szCs w:val="12"/>
                <w:color w:val="auto"/>
              </w:rPr>
              <w:t>(dollars 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Sales and marketing</w:t>
            </w:r>
          </w:p>
        </w:tc>
        <w:tc>
          <w:tcPr>
            <w:tcW w:w="21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68,313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104,604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36,291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w w:val="91"/>
              </w:rPr>
              <w:t>53%</w:t>
            </w:r>
          </w:p>
        </w:tc>
      </w:tr>
      <w:tr>
        <w:trPr>
          <w:trHeight w:val="142"/>
        </w:trPr>
        <w:tc>
          <w:tcPr>
            <w:tcW w:w="3320" w:type="dxa"/>
            <w:vAlign w:val="bottom"/>
          </w:tcPr>
          <w:p>
            <w:pPr>
              <w:spacing w:after="0"/>
              <w:rPr>
                <w:sz w:val="20"/>
                <w:szCs w:val="20"/>
                <w:color w:val="auto"/>
              </w:rPr>
            </w:pPr>
            <w:r>
              <w:rPr>
                <w:rFonts w:ascii="Arial" w:cs="Arial" w:eastAsia="Arial" w:hAnsi="Arial"/>
                <w:sz w:val="12"/>
                <w:szCs w:val="12"/>
                <w:color w:val="auto"/>
              </w:rPr>
              <w:t>Percentage of total revenue</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Sales and marketing expenses increased $36.3 million, or 53%, in the six months ended June 30, 2017 compared to the six months ended June 30, 2016, due primarily to an increase in advertising costs of</w:t>
      </w:r>
    </w:p>
    <w:p>
      <w:pPr>
        <w:ind w:right="40"/>
        <w:spacing w:after="0" w:line="239" w:lineRule="auto"/>
        <w:rPr>
          <w:sz w:val="20"/>
          <w:szCs w:val="20"/>
          <w:color w:val="auto"/>
        </w:rPr>
      </w:pPr>
      <w:r>
        <w:rPr>
          <w:rFonts w:ascii="Arial" w:cs="Arial" w:eastAsia="Arial" w:hAnsi="Arial"/>
          <w:sz w:val="12"/>
          <w:szCs w:val="12"/>
          <w:color w:val="auto"/>
        </w:rPr>
        <w:t>$26.2 million, a $6.1 million increase in salaries, commissions, and related expenses due to our increased revenue and a 41% increase in headcount, a $1.2 million increase in expenses related to marketing events, and a $1.1 million increase in consulting fees.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80" w:type="dxa"/>
            <w:vAlign w:val="bottom"/>
            <w:gridSpan w:val="2"/>
          </w:tcPr>
          <w:p>
            <w:pPr>
              <w:spacing w:after="0"/>
              <w:rPr>
                <w:sz w:val="20"/>
                <w:szCs w:val="20"/>
                <w:color w:val="auto"/>
              </w:rPr>
            </w:pPr>
            <w:r>
              <w:rPr>
                <w:rFonts w:ascii="Arial" w:cs="Arial" w:eastAsia="Arial" w:hAnsi="Arial"/>
                <w:sz w:val="12"/>
                <w:szCs w:val="12"/>
                <w:i w:val="1"/>
                <w:iCs w:val="1"/>
                <w:color w:val="auto"/>
              </w:rPr>
              <w:t>Product, Technology, and Development Expenses</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6"/>
          </w:tcPr>
          <w:p>
            <w:pPr>
              <w:jc w:val="right"/>
              <w:ind w:right="400"/>
              <w:spacing w:after="0"/>
              <w:rPr>
                <w:sz w:val="20"/>
                <w:szCs w:val="20"/>
                <w:color w:val="auto"/>
              </w:rPr>
            </w:pPr>
            <w:r>
              <w:rPr>
                <w:rFonts w:ascii="Arial" w:cs="Arial" w:eastAsia="Arial" w:hAnsi="Arial"/>
                <w:sz w:val="12"/>
                <w:szCs w:val="12"/>
                <w:color w:val="auto"/>
              </w:rPr>
              <w:t>Six Months</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1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6"/>
          </w:tcPr>
          <w:p>
            <w:pPr>
              <w:jc w:val="right"/>
              <w:ind w:right="280"/>
              <w:spacing w:after="0" w:line="133" w:lineRule="exact"/>
              <w:rPr>
                <w:sz w:val="20"/>
                <w:szCs w:val="20"/>
                <w:color w:val="auto"/>
              </w:rPr>
            </w:pPr>
            <w:r>
              <w:rPr>
                <w:rFonts w:ascii="Arial" w:cs="Arial" w:eastAsia="Arial" w:hAnsi="Arial"/>
                <w:sz w:val="12"/>
                <w:szCs w:val="12"/>
                <w:color w:val="auto"/>
              </w:rPr>
              <w:t>Ended June 30,</w:t>
            </w:r>
          </w:p>
        </w:tc>
        <w:tc>
          <w:tcPr>
            <w:tcW w:w="140" w:type="dxa"/>
            <w:vAlign w:val="bottom"/>
          </w:tcPr>
          <w:p>
            <w:pPr>
              <w:spacing w:after="0"/>
              <w:rPr>
                <w:sz w:val="11"/>
                <w:szCs w:val="11"/>
                <w:color w:val="auto"/>
              </w:rPr>
            </w:pPr>
          </w:p>
        </w:tc>
        <w:tc>
          <w:tcPr>
            <w:tcW w:w="660" w:type="dxa"/>
            <w:vAlign w:val="bottom"/>
            <w:gridSpan w:val="3"/>
          </w:tcPr>
          <w:p>
            <w:pPr>
              <w:ind w:left="220"/>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40"/>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720" w:type="dxa"/>
            <w:vAlign w:val="bottom"/>
          </w:tcPr>
          <w:p>
            <w:pPr>
              <w:spacing w:after="0"/>
              <w:rPr>
                <w:sz w:val="11"/>
                <w:szCs w:val="11"/>
                <w:color w:val="auto"/>
              </w:rPr>
            </w:pPr>
          </w:p>
        </w:tc>
        <w:tc>
          <w:tcPr>
            <w:tcW w:w="3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Product, technology, and development</w:t>
            </w:r>
          </w:p>
        </w:tc>
        <w:tc>
          <w:tcPr>
            <w:tcW w:w="1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5,150</w:t>
            </w:r>
          </w:p>
        </w:tc>
        <w:tc>
          <w:tcPr>
            <w:tcW w:w="1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8,357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62%</w:t>
            </w:r>
          </w:p>
        </w:tc>
      </w:tr>
      <w:tr>
        <w:trPr>
          <w:trHeight w:val="142"/>
        </w:trPr>
        <w:tc>
          <w:tcPr>
            <w:tcW w:w="5480" w:type="dxa"/>
            <w:vAlign w:val="bottom"/>
            <w:gridSpan w:val="2"/>
          </w:tcPr>
          <w:p>
            <w:pPr>
              <w:ind w:left="1720"/>
              <w:spacing w:after="0"/>
              <w:rPr>
                <w:sz w:val="20"/>
                <w:szCs w:val="20"/>
                <w:color w:val="auto"/>
              </w:rPr>
            </w:pPr>
            <w:r>
              <w:rPr>
                <w:rFonts w:ascii="Arial" w:cs="Arial" w:eastAsia="Arial" w:hAnsi="Arial"/>
                <w:sz w:val="12"/>
                <w:szCs w:val="12"/>
                <w:color w:val="auto"/>
              </w:rPr>
              <w:t>Percentage of total revenue</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Product, technology, and development expenses increased $3.2 million, or 62%, in the six months ended June 30, 2017 compared to the six months ended June 30, 2016, due primarily to an increase in salaries and related employment expenses related to a 67% increase in headcount to support our growth and product innovations.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00" w:type="dxa"/>
            <w:vAlign w:val="bottom"/>
            <w:gridSpan w:val="2"/>
          </w:tcPr>
          <w:p>
            <w:pPr>
              <w:spacing w:after="0"/>
              <w:rPr>
                <w:sz w:val="20"/>
                <w:szCs w:val="20"/>
                <w:color w:val="auto"/>
              </w:rPr>
            </w:pPr>
            <w:r>
              <w:rPr>
                <w:rFonts w:ascii="Arial" w:cs="Arial" w:eastAsia="Arial" w:hAnsi="Arial"/>
                <w:sz w:val="12"/>
                <w:szCs w:val="12"/>
                <w:i w:val="1"/>
                <w:iCs w:val="1"/>
                <w:color w:val="auto"/>
              </w:rPr>
              <w:t>General and Administrative Expenses</w:t>
            </w: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7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4"/>
          </w:tcPr>
          <w:p>
            <w:pPr>
              <w:jc w:val="center"/>
              <w:ind w:left="321"/>
              <w:spacing w:after="0"/>
              <w:rPr>
                <w:sz w:val="20"/>
                <w:szCs w:val="20"/>
                <w:color w:val="auto"/>
              </w:rPr>
            </w:pPr>
            <w:r>
              <w:rPr>
                <w:rFonts w:ascii="Arial" w:cs="Arial" w:eastAsia="Arial" w:hAnsi="Arial"/>
                <w:sz w:val="12"/>
                <w:szCs w:val="12"/>
                <w:color w:val="auto"/>
                <w:w w:val="97"/>
              </w:rPr>
              <w:t>Six Months</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17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6"/>
          </w:tcPr>
          <w:p>
            <w:pPr>
              <w:jc w:val="center"/>
              <w:ind w:right="60"/>
              <w:spacing w:after="0" w:line="133" w:lineRule="exact"/>
              <w:rPr>
                <w:sz w:val="20"/>
                <w:szCs w:val="20"/>
                <w:color w:val="auto"/>
              </w:rPr>
            </w:pPr>
            <w:r>
              <w:rPr>
                <w:rFonts w:ascii="Arial" w:cs="Arial" w:eastAsia="Arial" w:hAnsi="Arial"/>
                <w:sz w:val="12"/>
                <w:szCs w:val="12"/>
                <w:color w:val="auto"/>
                <w:w w:val="97"/>
              </w:rPr>
              <w:t>Ended June 30,</w:t>
            </w:r>
          </w:p>
        </w:tc>
        <w:tc>
          <w:tcPr>
            <w:tcW w:w="160" w:type="dxa"/>
            <w:vAlign w:val="bottom"/>
          </w:tcPr>
          <w:p>
            <w:pPr>
              <w:spacing w:after="0"/>
              <w:rPr>
                <w:sz w:val="11"/>
                <w:szCs w:val="11"/>
                <w:color w:val="auto"/>
              </w:rPr>
            </w:pPr>
          </w:p>
        </w:tc>
        <w:tc>
          <w:tcPr>
            <w:tcW w:w="700" w:type="dxa"/>
            <w:vAlign w:val="bottom"/>
            <w:gridSpan w:val="3"/>
          </w:tcPr>
          <w:p>
            <w:pPr>
              <w:ind w:left="260"/>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7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2017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7"/>
          </w:tcPr>
          <w:p>
            <w:pPr>
              <w:ind w:left="20"/>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7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General and administrative</w:t>
            </w:r>
          </w:p>
        </w:tc>
        <w:tc>
          <w:tcPr>
            <w:tcW w:w="2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5,618</w:t>
            </w: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center"/>
              <w:ind w:right="141"/>
              <w:spacing w:after="0" w:line="135"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9,092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62%</w:t>
            </w:r>
          </w:p>
        </w:tc>
      </w:tr>
      <w:tr>
        <w:trPr>
          <w:trHeight w:val="142"/>
        </w:trPr>
        <w:tc>
          <w:tcPr>
            <w:tcW w:w="5100" w:type="dxa"/>
            <w:vAlign w:val="bottom"/>
            <w:gridSpan w:val="2"/>
          </w:tcPr>
          <w:p>
            <w:pPr>
              <w:ind w:left="1720"/>
              <w:spacing w:after="0"/>
              <w:rPr>
                <w:sz w:val="20"/>
                <w:szCs w:val="20"/>
                <w:color w:val="auto"/>
              </w:rPr>
            </w:pPr>
            <w:r>
              <w:rPr>
                <w:rFonts w:ascii="Arial" w:cs="Arial" w:eastAsia="Arial" w:hAnsi="Arial"/>
                <w:sz w:val="12"/>
                <w:szCs w:val="12"/>
                <w:color w:val="auto"/>
              </w:rPr>
              <w:t>Percentage of total revenue</w:t>
            </w: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General and administrative expenses increased $3.5 million, or 62%, in the six months ended June 30, 2017 compared to the six months ended June 30, 2016, due primarily to an increase of $1.9 million in salaries and other employee-related costs driven by an increase in headcount needed to grow our business and provide personnel to support our expanded operations. Payment processing and billing costs also increased $0.8 million due to increased customer transactions.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522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5220" w:type="dxa"/>
            <w:vAlign w:val="bottom"/>
            <w:gridSpan w:val="3"/>
          </w:tcPr>
          <w:p>
            <w:pPr>
              <w:spacing w:after="0"/>
              <w:rPr>
                <w:sz w:val="20"/>
                <w:szCs w:val="20"/>
                <w:color w:val="auto"/>
              </w:rPr>
            </w:pPr>
            <w:r>
              <w:rPr>
                <w:rFonts w:ascii="Arial" w:cs="Arial" w:eastAsia="Arial" w:hAnsi="Arial"/>
                <w:sz w:val="12"/>
                <w:szCs w:val="12"/>
                <w:i w:val="1"/>
                <w:iCs w:val="1"/>
                <w:color w:val="auto"/>
              </w:rPr>
              <w:t>Depreciation and Amortization Expenses</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4"/>
        </w:trPr>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6"/>
          </w:tcPr>
          <w:p>
            <w:pPr>
              <w:jc w:val="right"/>
              <w:ind w:right="360"/>
              <w:spacing w:after="0"/>
              <w:rPr>
                <w:sz w:val="20"/>
                <w:szCs w:val="20"/>
                <w:color w:val="auto"/>
              </w:rPr>
            </w:pPr>
            <w:r>
              <w:rPr>
                <w:rFonts w:ascii="Arial" w:cs="Arial" w:eastAsia="Arial" w:hAnsi="Arial"/>
                <w:sz w:val="12"/>
                <w:szCs w:val="12"/>
                <w:color w:val="auto"/>
              </w:rPr>
              <w:t>Six Months</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6"/>
          </w:tcPr>
          <w:p>
            <w:pPr>
              <w:jc w:val="right"/>
              <w:ind w:right="240"/>
              <w:spacing w:after="0" w:line="133" w:lineRule="exact"/>
              <w:rPr>
                <w:sz w:val="20"/>
                <w:szCs w:val="20"/>
                <w:color w:val="auto"/>
              </w:rPr>
            </w:pPr>
            <w:r>
              <w:rPr>
                <w:rFonts w:ascii="Arial" w:cs="Arial" w:eastAsia="Arial" w:hAnsi="Arial"/>
                <w:sz w:val="12"/>
                <w:szCs w:val="12"/>
                <w:color w:val="auto"/>
              </w:rPr>
              <w:t>Ended June 30,</w:t>
            </w:r>
          </w:p>
        </w:tc>
        <w:tc>
          <w:tcPr>
            <w:tcW w:w="160" w:type="dxa"/>
            <w:vAlign w:val="bottom"/>
          </w:tcPr>
          <w:p>
            <w:pPr>
              <w:spacing w:after="0"/>
              <w:rPr>
                <w:sz w:val="11"/>
                <w:szCs w:val="11"/>
                <w:color w:val="auto"/>
              </w:rPr>
            </w:pPr>
          </w:p>
        </w:tc>
        <w:tc>
          <w:tcPr>
            <w:tcW w:w="700" w:type="dxa"/>
            <w:vAlign w:val="bottom"/>
            <w:gridSpan w:val="3"/>
          </w:tcPr>
          <w:p>
            <w:pPr>
              <w:ind w:left="260"/>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Depreciation and amortization</w:t>
            </w:r>
          </w:p>
        </w:tc>
        <w:tc>
          <w:tcPr>
            <w:tcW w:w="2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633</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89%</w:t>
            </w:r>
          </w:p>
        </w:tc>
      </w:tr>
      <w:tr>
        <w:trPr>
          <w:trHeight w:val="142"/>
        </w:trPr>
        <w:tc>
          <w:tcPr>
            <w:tcW w:w="900" w:type="dxa"/>
            <w:vAlign w:val="bottom"/>
          </w:tcPr>
          <w:p>
            <w:pPr>
              <w:spacing w:after="0"/>
              <w:rPr>
                <w:sz w:val="12"/>
                <w:szCs w:val="12"/>
                <w:color w:val="auto"/>
              </w:rPr>
            </w:pPr>
          </w:p>
        </w:tc>
        <w:tc>
          <w:tcPr>
            <w:tcW w:w="4320" w:type="dxa"/>
            <w:vAlign w:val="bottom"/>
            <w:gridSpan w:val="2"/>
          </w:tcPr>
          <w:p>
            <w:pPr>
              <w:ind w:left="820"/>
              <w:spacing w:after="0"/>
              <w:rPr>
                <w:sz w:val="20"/>
                <w:szCs w:val="20"/>
                <w:color w:val="auto"/>
              </w:rPr>
            </w:pPr>
            <w:r>
              <w:rPr>
                <w:rFonts w:ascii="Arial" w:cs="Arial" w:eastAsia="Arial" w:hAnsi="Arial"/>
                <w:sz w:val="12"/>
                <w:szCs w:val="12"/>
                <w:color w:val="auto"/>
              </w:rPr>
              <w:t>Percentage of total revenue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Depreciation and amortization expenses increased $0.6 million, or 89%, in the six months ended June 30, 2017 compared to the six months ended June 30, 2016, due primarily to increased amortization of additional leasehold improvements.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net</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jc w:val="center"/>
              <w:ind w:left="21"/>
              <w:spacing w:after="0"/>
              <w:rPr>
                <w:sz w:val="20"/>
                <w:szCs w:val="20"/>
                <w:color w:val="auto"/>
              </w:rPr>
            </w:pPr>
            <w:r>
              <w:rPr>
                <w:rFonts w:ascii="Arial" w:cs="Arial" w:eastAsia="Arial" w:hAnsi="Arial"/>
                <w:sz w:val="12"/>
                <w:szCs w:val="12"/>
                <w:color w:val="auto"/>
                <w:w w:val="97"/>
              </w:rPr>
              <w:t>Six Months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5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jc w:val="center"/>
              <w:ind w:right="241"/>
              <w:spacing w:after="0" w:line="135" w:lineRule="exact"/>
              <w:rPr>
                <w:sz w:val="20"/>
                <w:szCs w:val="20"/>
                <w:color w:val="auto"/>
              </w:rPr>
            </w:pPr>
            <w:r>
              <w:rPr>
                <w:rFonts w:ascii="Arial" w:cs="Arial" w:eastAsia="Arial" w:hAnsi="Arial"/>
                <w:sz w:val="12"/>
                <w:szCs w:val="12"/>
                <w:color w:val="auto"/>
                <w:w w:val="97"/>
              </w:rPr>
              <w:t>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35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jc w:val="center"/>
              <w:ind w:left="41"/>
              <w:spacing w:after="0" w:line="133" w:lineRule="exact"/>
              <w:rPr>
                <w:sz w:val="20"/>
                <w:szCs w:val="20"/>
                <w:color w:val="auto"/>
              </w:rPr>
            </w:pPr>
            <w:r>
              <w:rPr>
                <w:rFonts w:ascii="Arial" w:cs="Arial" w:eastAsia="Arial" w:hAnsi="Arial"/>
                <w:sz w:val="12"/>
                <w:szCs w:val="12"/>
                <w:color w:val="auto"/>
                <w:w w:val="95"/>
              </w:rPr>
              <w:t>June 30,</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center"/>
              <w:ind w:left="181"/>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6"/>
              </w:rPr>
              <w:t>Amount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6"/>
          </w:tcPr>
          <w:p>
            <w:pPr>
              <w:ind w:left="20"/>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income, net</w:t>
            </w:r>
          </w:p>
        </w:tc>
        <w:tc>
          <w:tcPr>
            <w:tcW w:w="2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2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42%</w:t>
            </w:r>
          </w:p>
        </w:tc>
      </w:tr>
      <w:tr>
        <w:trPr>
          <w:trHeight w:val="142"/>
        </w:trPr>
        <w:tc>
          <w:tcPr>
            <w:tcW w:w="3500" w:type="dxa"/>
            <w:vAlign w:val="bottom"/>
          </w:tcPr>
          <w:p>
            <w:pPr>
              <w:spacing w:after="0"/>
              <w:rPr>
                <w:sz w:val="20"/>
                <w:szCs w:val="20"/>
                <w:color w:val="auto"/>
              </w:rPr>
            </w:pPr>
            <w:r>
              <w:rPr>
                <w:rFonts w:ascii="Arial" w:cs="Arial" w:eastAsia="Arial" w:hAnsi="Arial"/>
                <w:sz w:val="12"/>
                <w:szCs w:val="12"/>
                <w:color w:val="auto"/>
              </w:rPr>
              <w:t>Percentage of total revenue</w:t>
            </w: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240" w:firstLine="326"/>
        <w:spacing w:after="0" w:line="239" w:lineRule="auto"/>
        <w:rPr>
          <w:sz w:val="20"/>
          <w:szCs w:val="20"/>
          <w:color w:val="auto"/>
        </w:rPr>
      </w:pPr>
      <w:r>
        <w:rPr>
          <w:rFonts w:ascii="Arial" w:cs="Arial" w:eastAsia="Arial" w:hAnsi="Arial"/>
          <w:sz w:val="12"/>
          <w:szCs w:val="12"/>
          <w:color w:val="auto"/>
        </w:rPr>
        <w:t>Other income, net increased $0.1 million, or 42%, in the six months ended June 30, 2017 compared to the six months ended June 30, 2016, due primarily to an increase in interest income from the investment of excess cash balances.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12"/>
                <w:szCs w:val="12"/>
                <w:color w:val="auto"/>
              </w:rPr>
              <w:t>Six Months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3"/>
        </w:trPr>
        <w:tc>
          <w:tcPr>
            <w:tcW w:w="8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5"/>
          </w:tcPr>
          <w:p>
            <w:pPr>
              <w:jc w:val="right"/>
              <w:ind w:right="260"/>
              <w:spacing w:after="0" w:line="133" w:lineRule="exact"/>
              <w:rPr>
                <w:sz w:val="20"/>
                <w:szCs w:val="20"/>
                <w:color w:val="auto"/>
              </w:rPr>
            </w:pPr>
            <w:r>
              <w:rPr>
                <w:rFonts w:ascii="Arial" w:cs="Arial" w:eastAsia="Arial" w:hAnsi="Arial"/>
                <w:sz w:val="12"/>
                <w:szCs w:val="12"/>
                <w:color w:val="auto"/>
              </w:rPr>
              <w:t>Ended June 30,</w:t>
            </w:r>
          </w:p>
        </w:tc>
        <w:tc>
          <w:tcPr>
            <w:tcW w:w="180" w:type="dxa"/>
            <w:vAlign w:val="bottom"/>
          </w:tcPr>
          <w:p>
            <w:pPr>
              <w:spacing w:after="0"/>
              <w:rPr>
                <w:sz w:val="11"/>
                <w:szCs w:val="11"/>
                <w:color w:val="auto"/>
              </w:rPr>
            </w:pPr>
          </w:p>
        </w:tc>
        <w:tc>
          <w:tcPr>
            <w:tcW w:w="840" w:type="dxa"/>
            <w:vAlign w:val="bottom"/>
            <w:gridSpan w:val="3"/>
          </w:tcPr>
          <w:p>
            <w:pPr>
              <w:ind w:left="260"/>
              <w:spacing w:after="0" w:line="133" w:lineRule="exact"/>
              <w:rPr>
                <w:sz w:val="20"/>
                <w:szCs w:val="20"/>
                <w:color w:val="auto"/>
              </w:rPr>
            </w:pPr>
            <w:r>
              <w:rPr>
                <w:rFonts w:ascii="Arial" w:cs="Arial" w:eastAsia="Arial" w:hAnsi="Arial"/>
                <w:sz w:val="12"/>
                <w:szCs w:val="12"/>
                <w:color w:val="auto"/>
              </w:rPr>
              <w:t>Change</w:t>
            </w:r>
          </w:p>
        </w:tc>
      </w:tr>
      <w:tr>
        <w:trPr>
          <w:trHeight w:val="142"/>
        </w:trPr>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201"/>
              <w:spacing w:after="0"/>
              <w:rPr>
                <w:sz w:val="20"/>
                <w:szCs w:val="20"/>
                <w:color w:val="auto"/>
              </w:rPr>
            </w:pPr>
            <w:r>
              <w:rPr>
                <w:rFonts w:ascii="Arial" w:cs="Arial" w:eastAsia="Arial" w:hAnsi="Arial"/>
                <w:sz w:val="12"/>
                <w:szCs w:val="12"/>
                <w:color w:val="auto"/>
                <w:w w:val="95"/>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3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Provision for income taxes</w:t>
            </w:r>
          </w:p>
        </w:tc>
        <w:tc>
          <w:tcPr>
            <w:tcW w:w="22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340</w:t>
            </w:r>
          </w:p>
        </w:tc>
        <w:tc>
          <w:tcPr>
            <w:tcW w:w="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NM</w:t>
            </w: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color w:val="auto"/>
              </w:rPr>
              <w:t>Percentage of total revenue</w:t>
            </w: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65"/>
        </w:trPr>
        <w:tc>
          <w:tcPr>
            <w:tcW w:w="820" w:type="dxa"/>
            <w:vAlign w:val="bottom"/>
            <w:tcBorders>
              <w:bottom w:val="single" w:sz="8" w:color="auto"/>
            </w:tcBorders>
          </w:tcPr>
          <w:p>
            <w:pPr>
              <w:spacing w:after="0"/>
              <w:rPr>
                <w:sz w:val="5"/>
                <w:szCs w:val="5"/>
                <w:color w:val="auto"/>
              </w:rPr>
            </w:pPr>
          </w:p>
        </w:tc>
        <w:tc>
          <w:tcPr>
            <w:tcW w:w="26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147" w:lineRule="exact"/>
        <w:rPr>
          <w:sz w:val="20"/>
          <w:szCs w:val="20"/>
          <w:color w:val="auto"/>
        </w:rPr>
      </w:pPr>
    </w:p>
    <w:p>
      <w:pPr>
        <w:ind w:left="172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provision for income taxes increased $3.7 million in the six months ended June 30, 2017 compared to the six months ended June 30, 2016, due primarily to the increase in U.S. profitability.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19"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38"/>
        </w:trPr>
        <w:tc>
          <w:tcPr>
            <w:tcW w:w="5180" w:type="dxa"/>
            <w:vAlign w:val="bottom"/>
            <w:gridSpan w:val="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518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Income (Loss) from Operations by Segment</w:t>
            </w: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4"/>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2"/>
                <w:szCs w:val="12"/>
                <w:color w:val="auto"/>
              </w:rPr>
              <w:t>Six Months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6"/>
          </w:tcPr>
          <w:p>
            <w:pPr>
              <w:jc w:val="right"/>
              <w:ind w:right="360"/>
              <w:spacing w:after="0" w:line="133" w:lineRule="exact"/>
              <w:rPr>
                <w:sz w:val="20"/>
                <w:szCs w:val="20"/>
                <w:color w:val="auto"/>
              </w:rPr>
            </w:pPr>
            <w:r>
              <w:rPr>
                <w:rFonts w:ascii="Arial" w:cs="Arial" w:eastAsia="Arial" w:hAnsi="Arial"/>
                <w:sz w:val="12"/>
                <w:szCs w:val="12"/>
                <w:color w:val="auto"/>
              </w:rPr>
              <w:t>Ended June 30,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30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2016</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ind w:left="2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8,467</w:t>
            </w:r>
          </w:p>
        </w:tc>
        <w:tc>
          <w:tcPr>
            <w:tcW w:w="1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24,280</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15,813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91"/>
              </w:rPr>
              <w:t>187%</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gridSpan w:val="2"/>
          </w:tcPr>
          <w:p>
            <w:pPr>
              <w:spacing w:after="0" w:line="135" w:lineRule="exact"/>
              <w:rPr>
                <w:sz w:val="20"/>
                <w:szCs w:val="20"/>
                <w:color w:val="auto"/>
              </w:rPr>
            </w:pPr>
            <w:r>
              <w:rPr>
                <w:rFonts w:ascii="Arial" w:cs="Arial" w:eastAsia="Arial" w:hAnsi="Arial"/>
                <w:sz w:val="12"/>
                <w:szCs w:val="12"/>
                <w:color w:val="auto"/>
              </w:rPr>
              <w:t>International</w:t>
            </w: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(7,759)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(11,901)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(4,142)</w:t>
            </w:r>
          </w:p>
        </w:tc>
        <w:tc>
          <w:tcPr>
            <w:tcW w:w="80" w:type="dxa"/>
            <w:vAlign w:val="bottom"/>
          </w:tcPr>
          <w:p>
            <w:pPr>
              <w:spacing w:after="0"/>
              <w:rPr>
                <w:sz w:val="11"/>
                <w:szCs w:val="11"/>
                <w:color w:val="auto"/>
              </w:rPr>
            </w:pPr>
          </w:p>
        </w:tc>
        <w:tc>
          <w:tcPr>
            <w:tcW w:w="3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(53)</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gridSpan w:val="2"/>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24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708</w:t>
            </w:r>
          </w:p>
        </w:tc>
        <w:tc>
          <w:tcPr>
            <w:tcW w:w="1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12,379</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11,671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w w:val="96"/>
              </w:rPr>
              <w:t>NM</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Percentage of segment revenue:</w:t>
            </w:r>
          </w:p>
        </w:tc>
        <w:tc>
          <w:tcPr>
            <w:tcW w:w="2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NM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NM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65"/>
        </w:trPr>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right="460" w:firstLine="326"/>
        <w:spacing w:after="0" w:line="239" w:lineRule="auto"/>
        <w:rPr>
          <w:sz w:val="20"/>
          <w:szCs w:val="20"/>
          <w:color w:val="auto"/>
        </w:rPr>
      </w:pPr>
      <w:r>
        <w:rPr>
          <w:rFonts w:ascii="Arial" w:cs="Arial" w:eastAsia="Arial" w:hAnsi="Arial"/>
          <w:sz w:val="12"/>
          <w:szCs w:val="12"/>
          <w:color w:val="auto"/>
        </w:rPr>
        <w:t>U.S. income from operations increased $15.8 million, or 187%, in the six months ended June 30, 2017 compared to the six months ended June 30, 2016. This increase was due to an increase in revenue of $55.8 million, offset in part by an increase in cost of revenue of $2.9 million and operating expenses of $37.1 million.</w:t>
      </w:r>
    </w:p>
    <w:p>
      <w:pPr>
        <w:spacing w:after="0" w:line="139"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International loss from operations increased $4.1 million, or 53%, in the six months ended June 30, 2017 compared to the six months ended June 30, 2016. The increase in international loss from operations reflects our continued investment in international markets and expansion into new countries.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2015 Compared to Year Ended December 31, 2016</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by Source</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8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6"/>
          </w:tcPr>
          <w:p>
            <w:pPr>
              <w:jc w:val="right"/>
              <w:ind w:right="46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32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7"/>
          </w:tcPr>
          <w:p>
            <w:pPr>
              <w:ind w:left="6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w:t>
            </w:r>
          </w:p>
        </w:tc>
        <w:tc>
          <w:tcPr>
            <w:tcW w:w="2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2"/>
                <w:szCs w:val="12"/>
                <w:color w:val="auto"/>
              </w:rPr>
              <w:t>Marketplace subscription</w:t>
            </w:r>
          </w:p>
        </w:tc>
        <w:tc>
          <w:tcPr>
            <w:tcW w:w="25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75,142</w:t>
            </w:r>
          </w:p>
        </w:tc>
        <w:tc>
          <w:tcPr>
            <w:tcW w:w="120" w:type="dxa"/>
            <w:vAlign w:val="bottom"/>
          </w:tcPr>
          <w:p>
            <w:pPr>
              <w:spacing w:after="0"/>
              <w:rPr>
                <w:sz w:val="11"/>
                <w:szCs w:val="11"/>
                <w:color w:val="auto"/>
              </w:rPr>
            </w:pP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171,302</w:t>
            </w:r>
          </w:p>
        </w:tc>
        <w:tc>
          <w:tcPr>
            <w:tcW w:w="120" w:type="dxa"/>
            <w:vAlign w:val="bottom"/>
          </w:tcPr>
          <w:p>
            <w:pPr>
              <w:spacing w:after="0"/>
              <w:rPr>
                <w:sz w:val="11"/>
                <w:szCs w:val="11"/>
                <w:color w:val="auto"/>
              </w:rPr>
            </w:pPr>
          </w:p>
        </w:tc>
        <w:tc>
          <w:tcPr>
            <w:tcW w:w="2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96,160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w w:val="91"/>
              </w:rPr>
              <w:t>128%</w:t>
            </w: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Advertising and other</w:t>
            </w:r>
          </w:p>
        </w:tc>
        <w:tc>
          <w:tcPr>
            <w:tcW w:w="23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23,446</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26,839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3,393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r>
      <w:tr>
        <w:trPr>
          <w:trHeight w:val="131"/>
        </w:trPr>
        <w:tc>
          <w:tcPr>
            <w:tcW w:w="3860" w:type="dxa"/>
            <w:vAlign w:val="bottom"/>
          </w:tcPr>
          <w:p>
            <w:pPr>
              <w:ind w:left="120"/>
              <w:spacing w:after="0" w:line="124" w:lineRule="exact"/>
              <w:rPr>
                <w:sz w:val="20"/>
                <w:szCs w:val="20"/>
                <w:color w:val="auto"/>
              </w:rPr>
            </w:pPr>
            <w:r>
              <w:rPr>
                <w:rFonts w:ascii="Arial" w:cs="Arial" w:eastAsia="Arial" w:hAnsi="Arial"/>
                <w:sz w:val="12"/>
                <w:szCs w:val="12"/>
                <w:color w:val="auto"/>
              </w:rPr>
              <w:t>Total</w:t>
            </w:r>
          </w:p>
        </w:tc>
        <w:tc>
          <w:tcPr>
            <w:tcW w:w="25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98,588</w:t>
            </w:r>
          </w:p>
        </w:tc>
        <w:tc>
          <w:tcPr>
            <w:tcW w:w="120" w:type="dxa"/>
            <w:vAlign w:val="bottom"/>
          </w:tcPr>
          <w:p>
            <w:pPr>
              <w:spacing w:after="0"/>
              <w:rPr>
                <w:sz w:val="11"/>
                <w:szCs w:val="11"/>
                <w:color w:val="auto"/>
              </w:rPr>
            </w:pP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198,141</w:t>
            </w:r>
          </w:p>
        </w:tc>
        <w:tc>
          <w:tcPr>
            <w:tcW w:w="120" w:type="dxa"/>
            <w:vAlign w:val="bottom"/>
          </w:tcPr>
          <w:p>
            <w:pPr>
              <w:spacing w:after="0"/>
              <w:rPr>
                <w:sz w:val="11"/>
                <w:szCs w:val="11"/>
                <w:color w:val="auto"/>
              </w:rPr>
            </w:pPr>
          </w:p>
        </w:tc>
        <w:tc>
          <w:tcPr>
            <w:tcW w:w="20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99,553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1"/>
              </w:rPr>
              <w:t>101%</w:t>
            </w:r>
          </w:p>
        </w:tc>
      </w:tr>
      <w:tr>
        <w:trPr>
          <w:trHeight w:val="270"/>
        </w:trPr>
        <w:tc>
          <w:tcPr>
            <w:tcW w:w="3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Percentage of total revenue:</w:t>
            </w:r>
          </w:p>
        </w:tc>
        <w:tc>
          <w:tcPr>
            <w:tcW w:w="2300" w:type="dxa"/>
            <w:vAlign w:val="bottom"/>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2"/>
                <w:szCs w:val="12"/>
                <w:color w:val="auto"/>
              </w:rPr>
              <w:t>Marketplace subscription</w:t>
            </w: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76%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86%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Advertising and other</w:t>
            </w:r>
          </w:p>
        </w:tc>
        <w:tc>
          <w:tcPr>
            <w:tcW w:w="23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4"/>
        </w:trPr>
        <w:tc>
          <w:tcPr>
            <w:tcW w:w="3860" w:type="dxa"/>
            <w:vAlign w:val="bottom"/>
          </w:tcPr>
          <w:p>
            <w:pPr>
              <w:ind w:left="120"/>
              <w:spacing w:after="0" w:line="124" w:lineRule="exact"/>
              <w:rPr>
                <w:sz w:val="20"/>
                <w:szCs w:val="20"/>
                <w:color w:val="auto"/>
              </w:rPr>
            </w:pPr>
            <w:r>
              <w:rPr>
                <w:rFonts w:ascii="Arial" w:cs="Arial" w:eastAsia="Arial" w:hAnsi="Arial"/>
                <w:sz w:val="12"/>
                <w:szCs w:val="12"/>
                <w:color w:val="auto"/>
              </w:rPr>
              <w:t>Total</w:t>
            </w: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7"/>
        </w:trPr>
        <w:tc>
          <w:tcPr>
            <w:tcW w:w="3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Overall revenue increased by $99.6 million, or 101%, in the year ended December 31, 2016 compared to the year ended December 31, 2015. Marketplace subscription revenue increased by 128% while advertising and other revenue grew by 14%.</w:t>
      </w:r>
    </w:p>
    <w:p>
      <w:pPr>
        <w:spacing w:after="0" w:line="139"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Marketplace subscription revenue increased $96.2 million in the year ended December 31, 2016 compared to the year ended December 31, 2015, and represented 86% of total revenue in 2016 compared to 76% of total revenue in 2015. This increase in marketplace subscription revenue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19" w:right="2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was attributable primarily to a 73% growth in the number of paying dealers, from 12,329 as of December 31, 2015 to 21,301 as of December 31, 2016, and to an 18% growth in our AARSD from $8,835 in the year ended December 31, 2015 to $10,383 in the year ended December 31, 2016. We believe that this increase in paying dealers was driven by the overall growth in the number of unique users to our website and mobile applications and the continued efforts from our sales and marketing teams to convert Basic Listing dealers to Enhanced and Featured Listing paying dealers.</w:t>
      </w:r>
    </w:p>
    <w:p>
      <w:pPr>
        <w:spacing w:after="0" w:line="141" w:lineRule="exact"/>
        <w:rPr>
          <w:sz w:val="20"/>
          <w:szCs w:val="20"/>
          <w:color w:val="auto"/>
        </w:rPr>
      </w:pPr>
    </w:p>
    <w:p>
      <w:pPr>
        <w:ind w:right="20" w:firstLine="319"/>
        <w:spacing w:after="0" w:line="237" w:lineRule="auto"/>
        <w:rPr>
          <w:sz w:val="20"/>
          <w:szCs w:val="20"/>
          <w:color w:val="auto"/>
        </w:rPr>
      </w:pPr>
      <w:r>
        <w:rPr>
          <w:rFonts w:ascii="Arial" w:cs="Arial" w:eastAsia="Arial" w:hAnsi="Arial"/>
          <w:sz w:val="12"/>
          <w:szCs w:val="12"/>
          <w:color w:val="auto"/>
        </w:rPr>
        <w:t>Advertising and other revenue increased $3.4 million in the year ended December 31, 2016 compared to the year ended December 31, 2015, and represented 14% of total revenue in 2016 compared to 24% of total revenue in 2015. The increase in advertising and other revenue is due primarily to a 53% increase in the number of impressions in 2016 compared to 2015. This increase was partially offset by a 19% decrease in the average price per thousand impressions in 2016 compared to 2015. The increase was also partially offset by a reduction in other advertising revenue.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by Segment</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9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6"/>
          </w:tcPr>
          <w:p>
            <w:pPr>
              <w:jc w:val="right"/>
              <w:ind w:right="46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32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7"/>
          </w:tcPr>
          <w:p>
            <w:pPr>
              <w:ind w:left="6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w:t>
            </w:r>
          </w:p>
        </w:tc>
        <w:tc>
          <w:tcPr>
            <w:tcW w:w="2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2"/>
                <w:szCs w:val="12"/>
                <w:color w:val="auto"/>
              </w:rPr>
              <w:t>United States</w:t>
            </w:r>
          </w:p>
        </w:tc>
        <w:tc>
          <w:tcPr>
            <w:tcW w:w="25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98,566</w:t>
            </w:r>
          </w:p>
        </w:tc>
        <w:tc>
          <w:tcPr>
            <w:tcW w:w="120" w:type="dxa"/>
            <w:vAlign w:val="bottom"/>
          </w:tcPr>
          <w:p>
            <w:pPr>
              <w:spacing w:after="0"/>
              <w:rPr>
                <w:sz w:val="11"/>
                <w:szCs w:val="11"/>
                <w:color w:val="auto"/>
              </w:rPr>
            </w:pP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195,824</w:t>
            </w:r>
          </w:p>
        </w:tc>
        <w:tc>
          <w:tcPr>
            <w:tcW w:w="120" w:type="dxa"/>
            <w:vAlign w:val="bottom"/>
          </w:tcPr>
          <w:p>
            <w:pPr>
              <w:spacing w:after="0"/>
              <w:rPr>
                <w:sz w:val="11"/>
                <w:szCs w:val="11"/>
                <w:color w:val="auto"/>
              </w:rPr>
            </w:pPr>
          </w:p>
        </w:tc>
        <w:tc>
          <w:tcPr>
            <w:tcW w:w="2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97,258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99%</w:t>
            </w: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International</w:t>
            </w:r>
          </w:p>
        </w:tc>
        <w:tc>
          <w:tcPr>
            <w:tcW w:w="23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2,317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2,295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2"/>
                <w:szCs w:val="12"/>
                <w:color w:val="auto"/>
                <w:w w:val="85"/>
              </w:rPr>
              <w:t>NM</w:t>
            </w:r>
          </w:p>
        </w:tc>
        <w:tc>
          <w:tcPr>
            <w:tcW w:w="120" w:type="dxa"/>
            <w:vAlign w:val="bottom"/>
            <w:shd w:val="clear" w:color="auto" w:fill="CCEEFF"/>
          </w:tcPr>
          <w:p>
            <w:pPr>
              <w:spacing w:after="0"/>
              <w:rPr>
                <w:sz w:val="11"/>
                <w:szCs w:val="11"/>
                <w:color w:val="auto"/>
              </w:rPr>
            </w:pPr>
          </w:p>
        </w:tc>
      </w:tr>
      <w:tr>
        <w:trPr>
          <w:trHeight w:val="131"/>
        </w:trPr>
        <w:tc>
          <w:tcPr>
            <w:tcW w:w="3860" w:type="dxa"/>
            <w:vAlign w:val="bottom"/>
            <w:gridSpan w:val="2"/>
          </w:tcPr>
          <w:p>
            <w:pPr>
              <w:ind w:left="120"/>
              <w:spacing w:after="0" w:line="124" w:lineRule="exact"/>
              <w:rPr>
                <w:sz w:val="20"/>
                <w:szCs w:val="20"/>
                <w:color w:val="auto"/>
              </w:rPr>
            </w:pPr>
            <w:r>
              <w:rPr>
                <w:rFonts w:ascii="Arial" w:cs="Arial" w:eastAsia="Arial" w:hAnsi="Arial"/>
                <w:sz w:val="12"/>
                <w:szCs w:val="12"/>
                <w:color w:val="auto"/>
              </w:rPr>
              <w:t>Total</w:t>
            </w:r>
          </w:p>
        </w:tc>
        <w:tc>
          <w:tcPr>
            <w:tcW w:w="25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98,588</w:t>
            </w:r>
          </w:p>
        </w:tc>
        <w:tc>
          <w:tcPr>
            <w:tcW w:w="120" w:type="dxa"/>
            <w:vAlign w:val="bottom"/>
          </w:tcPr>
          <w:p>
            <w:pPr>
              <w:spacing w:after="0"/>
              <w:rPr>
                <w:sz w:val="11"/>
                <w:szCs w:val="11"/>
                <w:color w:val="auto"/>
              </w:rPr>
            </w:pP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198,141</w:t>
            </w:r>
          </w:p>
        </w:tc>
        <w:tc>
          <w:tcPr>
            <w:tcW w:w="120" w:type="dxa"/>
            <w:vAlign w:val="bottom"/>
          </w:tcPr>
          <w:p>
            <w:pPr>
              <w:spacing w:after="0"/>
              <w:rPr>
                <w:sz w:val="11"/>
                <w:szCs w:val="11"/>
                <w:color w:val="auto"/>
              </w:rPr>
            </w:pPr>
          </w:p>
        </w:tc>
        <w:tc>
          <w:tcPr>
            <w:tcW w:w="20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99,553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1"/>
              </w:rPr>
              <w:t>101%</w:t>
            </w:r>
          </w:p>
        </w:tc>
      </w:tr>
      <w:tr>
        <w:trPr>
          <w:trHeight w:val="270"/>
        </w:trPr>
        <w:tc>
          <w:tcPr>
            <w:tcW w:w="38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Percentage of total revenue:</w:t>
            </w:r>
          </w:p>
        </w:tc>
        <w:tc>
          <w:tcPr>
            <w:tcW w:w="2300" w:type="dxa"/>
            <w:vAlign w:val="bottom"/>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2"/>
                <w:szCs w:val="12"/>
                <w:color w:val="auto"/>
              </w:rPr>
              <w:t>United States</w:t>
            </w: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99%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International</w:t>
            </w:r>
          </w:p>
        </w:tc>
        <w:tc>
          <w:tcPr>
            <w:tcW w:w="23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1"/>
        </w:trPr>
        <w:tc>
          <w:tcPr>
            <w:tcW w:w="3860" w:type="dxa"/>
            <w:vAlign w:val="bottom"/>
            <w:gridSpan w:val="2"/>
          </w:tcPr>
          <w:p>
            <w:pPr>
              <w:ind w:left="120"/>
              <w:spacing w:after="0" w:line="124" w:lineRule="exact"/>
              <w:rPr>
                <w:sz w:val="20"/>
                <w:szCs w:val="20"/>
                <w:color w:val="auto"/>
              </w:rPr>
            </w:pPr>
            <w:r>
              <w:rPr>
                <w:rFonts w:ascii="Arial" w:cs="Arial" w:eastAsia="Arial" w:hAnsi="Arial"/>
                <w:sz w:val="12"/>
                <w:szCs w:val="12"/>
                <w:color w:val="auto"/>
              </w:rPr>
              <w:t>Total</w:t>
            </w: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72"/>
        </w:trPr>
        <w:tc>
          <w:tcPr>
            <w:tcW w:w="940" w:type="dxa"/>
            <w:vAlign w:val="bottom"/>
            <w:tcBorders>
              <w:bottom w:val="single" w:sz="8" w:color="auto"/>
            </w:tcBorders>
          </w:tcPr>
          <w:p>
            <w:pPr>
              <w:spacing w:after="0"/>
              <w:rPr>
                <w:sz w:val="6"/>
                <w:szCs w:val="6"/>
                <w:color w:val="auto"/>
              </w:rPr>
            </w:pPr>
          </w:p>
        </w:tc>
        <w:tc>
          <w:tcPr>
            <w:tcW w:w="29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U.S. revenue increased $97.3 million, or 99%, in the year ended December 31, 2016 compared to the year ended December 31, 2015, due primarily to a 66% increase in the number of U.S. paying dealers.</w:t>
      </w:r>
    </w:p>
    <w:p>
      <w:pPr>
        <w:spacing w:after="0" w:line="141"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International revenue increased $2.3 million in the year ended December 31, 2016 compared to the year ended December 31, 2015. The first international paying dealers began their subscriptions in the fourth quarter of 2015 and grew to 952 paying dealers at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6"/>
          </w:tcPr>
          <w:p>
            <w:pPr>
              <w:jc w:val="right"/>
              <w:ind w:right="36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32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7"/>
          </w:tcPr>
          <w:p>
            <w:pPr>
              <w:ind w:left="4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Cost of revenue</w:t>
            </w:r>
          </w:p>
        </w:tc>
        <w:tc>
          <w:tcPr>
            <w:tcW w:w="2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4,234</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9,575</w:t>
            </w: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91"/>
              </w:rPr>
              <w:t>126%</w:t>
            </w:r>
          </w:p>
        </w:tc>
      </w:tr>
      <w:tr>
        <w:trPr>
          <w:trHeight w:val="142"/>
        </w:trPr>
        <w:tc>
          <w:tcPr>
            <w:tcW w:w="3860" w:type="dxa"/>
            <w:vAlign w:val="bottom"/>
          </w:tcPr>
          <w:p>
            <w:pPr>
              <w:spacing w:after="0"/>
              <w:rPr>
                <w:sz w:val="20"/>
                <w:szCs w:val="20"/>
                <w:color w:val="auto"/>
              </w:rPr>
            </w:pPr>
            <w:r>
              <w:rPr>
                <w:rFonts w:ascii="Arial" w:cs="Arial" w:eastAsia="Arial" w:hAnsi="Arial"/>
                <w:sz w:val="12"/>
                <w:szCs w:val="12"/>
                <w:color w:val="auto"/>
              </w:rPr>
              <w:t>Percentage of total revenue</w:t>
            </w: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Cost of revenue increased $5.3 million, or 126%, in the year ended December 31, 2016 compared to the year ended December 31, 2015. The increase was due primarily to a $1.7 million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2" w:right="29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increase in employee-related costs for our customer support team to support the growth in customers, a $1.5 million increase in fees related to provisioning advertising campaigns on our websites, a $1.1 million increase in costs related to connecting consumers with dealers through a variety of methods, including phone calls, email, and managed text and chat, a $0.4 million increase for data center and hosting costs, a $0.3 million increase in costs to improve the content on our website, and a $0.2 million increase in amortization of website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and Marketing Expenses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6"/>
          </w:tcPr>
          <w:p>
            <w:pPr>
              <w:jc w:val="right"/>
              <w:ind w:right="44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260"/>
              <w:spacing w:after="0" w:line="133" w:lineRule="exact"/>
              <w:rPr>
                <w:sz w:val="20"/>
                <w:szCs w:val="20"/>
                <w:color w:val="auto"/>
              </w:rPr>
            </w:pPr>
            <w:r>
              <w:rPr>
                <w:rFonts w:ascii="Arial" w:cs="Arial" w:eastAsia="Arial" w:hAnsi="Arial"/>
                <w:sz w:val="12"/>
                <w:szCs w:val="12"/>
                <w:color w:val="auto"/>
                <w:w w:val="95"/>
              </w:rPr>
              <w:t>Change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3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2015</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7"/>
          </w:tcPr>
          <w:p>
            <w:pPr>
              <w:ind w:left="20"/>
              <w:spacing w:after="0"/>
              <w:rPr>
                <w:sz w:val="20"/>
                <w:szCs w:val="20"/>
                <w:color w:val="auto"/>
              </w:rPr>
            </w:pPr>
            <w:r>
              <w:rPr>
                <w:rFonts w:ascii="Arial" w:cs="Arial" w:eastAsia="Arial" w:hAnsi="Arial"/>
                <w:sz w:val="12"/>
                <w:szCs w:val="12"/>
                <w:color w:val="auto"/>
              </w:rPr>
              <w:t>(dollars 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Sales and marketing</w:t>
            </w:r>
          </w:p>
        </w:tc>
        <w:tc>
          <w:tcPr>
            <w:tcW w:w="2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81,877</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154,125</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72,248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w w:val="91"/>
              </w:rPr>
              <w:t>88%</w:t>
            </w:r>
          </w:p>
        </w:tc>
      </w:tr>
      <w:tr>
        <w:trPr>
          <w:trHeight w:val="142"/>
        </w:trPr>
        <w:tc>
          <w:tcPr>
            <w:tcW w:w="3300" w:type="dxa"/>
            <w:vAlign w:val="bottom"/>
          </w:tcPr>
          <w:p>
            <w:pPr>
              <w:spacing w:after="0"/>
              <w:rPr>
                <w:sz w:val="20"/>
                <w:szCs w:val="20"/>
                <w:color w:val="auto"/>
              </w:rPr>
            </w:pPr>
            <w:r>
              <w:rPr>
                <w:rFonts w:ascii="Arial" w:cs="Arial" w:eastAsia="Arial" w:hAnsi="Arial"/>
                <w:sz w:val="12"/>
                <w:szCs w:val="12"/>
                <w:color w:val="auto"/>
              </w:rPr>
              <w:t>Percentage of total revenue</w:t>
            </w: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78%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Sales and marketing expenses increased $72.2 million, or 88%, in the year ended December 31, 2016 compared to the year ended December 31, 2015. This increase was due primarily to an increase in advertising costs of $50.3 million, a $16.0 million increase in salaries, commissions, and related expenses due to our increased revenue and an 84% increase in headcount, a $1.3 million increase in expenses related to marketing events and activities, a $0.9 million increase in rent due to the expansion of our office space, and a $0.8 million increase in consulting fees.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40" w:type="dxa"/>
            <w:vAlign w:val="bottom"/>
            <w:gridSpan w:val="2"/>
          </w:tcPr>
          <w:p>
            <w:pPr>
              <w:spacing w:after="0"/>
              <w:rPr>
                <w:sz w:val="20"/>
                <w:szCs w:val="20"/>
                <w:color w:val="auto"/>
              </w:rPr>
            </w:pPr>
            <w:r>
              <w:rPr>
                <w:rFonts w:ascii="Arial" w:cs="Arial" w:eastAsia="Arial" w:hAnsi="Arial"/>
                <w:sz w:val="12"/>
                <w:szCs w:val="12"/>
                <w:i w:val="1"/>
                <w:iCs w:val="1"/>
                <w:color w:val="auto"/>
              </w:rPr>
              <w:t>Product, Technology, and Development Expenses</w:t>
            </w: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7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6"/>
          </w:tcPr>
          <w:p>
            <w:pPr>
              <w:jc w:val="right"/>
              <w:ind w:right="42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17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6"/>
          </w:tcPr>
          <w:p>
            <w:pPr>
              <w:jc w:val="right"/>
              <w:ind w:right="36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ind w:left="220"/>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8"/>
          </w:tcPr>
          <w:p>
            <w:pPr>
              <w:ind w:left="40"/>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720" w:type="dxa"/>
            <w:vAlign w:val="bottom"/>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Product, technology, and development</w:t>
            </w:r>
          </w:p>
        </w:tc>
        <w:tc>
          <w:tcPr>
            <w:tcW w:w="1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8,235</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61"/>
              <w:spacing w:after="0" w:line="135" w:lineRule="exact"/>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11,453</w:t>
            </w:r>
          </w:p>
        </w:tc>
        <w:tc>
          <w:tcPr>
            <w:tcW w:w="1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39%</w:t>
            </w:r>
          </w:p>
        </w:tc>
      </w:tr>
      <w:tr>
        <w:trPr>
          <w:trHeight w:val="142"/>
        </w:trPr>
        <w:tc>
          <w:tcPr>
            <w:tcW w:w="5440" w:type="dxa"/>
            <w:vAlign w:val="bottom"/>
            <w:gridSpan w:val="2"/>
          </w:tcPr>
          <w:p>
            <w:pPr>
              <w:ind w:left="1720"/>
              <w:spacing w:after="0"/>
              <w:rPr>
                <w:sz w:val="20"/>
                <w:szCs w:val="20"/>
                <w:color w:val="auto"/>
              </w:rPr>
            </w:pPr>
            <w:r>
              <w:rPr>
                <w:rFonts w:ascii="Arial" w:cs="Arial" w:eastAsia="Arial" w:hAnsi="Arial"/>
                <w:sz w:val="12"/>
                <w:szCs w:val="12"/>
                <w:color w:val="auto"/>
              </w:rPr>
              <w:t>Percentage of total revenue</w:t>
            </w: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460" w:firstLine="326"/>
        <w:spacing w:after="0" w:line="239" w:lineRule="auto"/>
        <w:rPr>
          <w:sz w:val="20"/>
          <w:szCs w:val="20"/>
          <w:color w:val="auto"/>
        </w:rPr>
      </w:pPr>
      <w:r>
        <w:rPr>
          <w:rFonts w:ascii="Arial" w:cs="Arial" w:eastAsia="Arial" w:hAnsi="Arial"/>
          <w:sz w:val="12"/>
          <w:szCs w:val="12"/>
          <w:color w:val="auto"/>
        </w:rPr>
        <w:t>Product, technology, and development expenses increased $3.2 million, or 39%, in the year ended December 31, 2016 compared to the year ended December 31, 2015. The increase was due primarily to an increase in salaries and related employment expenses due to our 66% increase in headcount to support our growth and product innovations.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40" w:type="dxa"/>
            <w:vAlign w:val="bottom"/>
            <w:gridSpan w:val="2"/>
          </w:tcPr>
          <w:p>
            <w:pPr>
              <w:spacing w:after="0"/>
              <w:rPr>
                <w:sz w:val="20"/>
                <w:szCs w:val="20"/>
                <w:color w:val="auto"/>
              </w:rPr>
            </w:pPr>
            <w:r>
              <w:rPr>
                <w:rFonts w:ascii="Arial" w:cs="Arial" w:eastAsia="Arial" w:hAnsi="Arial"/>
                <w:sz w:val="12"/>
                <w:szCs w:val="12"/>
                <w:i w:val="1"/>
                <w:iCs w:val="1"/>
                <w:color w:val="auto"/>
              </w:rPr>
              <w:t>General and Administrative Expenses</w:t>
            </w: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7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17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6"/>
          </w:tcPr>
          <w:p>
            <w:pPr>
              <w:jc w:val="right"/>
              <w:ind w:right="38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ind w:left="280"/>
              <w:spacing w:after="0" w:line="133" w:lineRule="exact"/>
              <w:rPr>
                <w:sz w:val="20"/>
                <w:szCs w:val="20"/>
                <w:color w:val="auto"/>
              </w:rPr>
            </w:pPr>
            <w:r>
              <w:rPr>
                <w:rFonts w:ascii="Arial" w:cs="Arial" w:eastAsia="Arial" w:hAnsi="Arial"/>
                <w:sz w:val="12"/>
                <w:szCs w:val="12"/>
                <w:color w:val="auto"/>
                <w:w w:val="95"/>
              </w:rPr>
              <w:t>Change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7"/>
          </w:tcPr>
          <w:p>
            <w:pPr>
              <w:ind w:left="20"/>
              <w:spacing w:after="0"/>
              <w:rPr>
                <w:sz w:val="20"/>
                <w:szCs w:val="20"/>
                <w:color w:val="auto"/>
              </w:rPr>
            </w:pPr>
            <w:r>
              <w:rPr>
                <w:rFonts w:ascii="Arial" w:cs="Arial" w:eastAsia="Arial" w:hAnsi="Arial"/>
                <w:sz w:val="12"/>
                <w:szCs w:val="12"/>
                <w:color w:val="auto"/>
              </w:rPr>
              <w:t>(dollars 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7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General and administrative</w:t>
            </w:r>
          </w:p>
        </w:tc>
        <w:tc>
          <w:tcPr>
            <w:tcW w:w="2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5,801</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12,783</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91"/>
              </w:rPr>
              <w:t>120%</w:t>
            </w:r>
          </w:p>
        </w:tc>
      </w:tr>
      <w:tr>
        <w:trPr>
          <w:trHeight w:val="142"/>
        </w:trPr>
        <w:tc>
          <w:tcPr>
            <w:tcW w:w="5040" w:type="dxa"/>
            <w:vAlign w:val="bottom"/>
            <w:gridSpan w:val="2"/>
          </w:tcPr>
          <w:p>
            <w:pPr>
              <w:ind w:left="1720"/>
              <w:spacing w:after="0"/>
              <w:rPr>
                <w:sz w:val="20"/>
                <w:szCs w:val="20"/>
                <w:color w:val="auto"/>
              </w:rPr>
            </w:pPr>
            <w:r>
              <w:rPr>
                <w:rFonts w:ascii="Arial" w:cs="Arial" w:eastAsia="Arial" w:hAnsi="Arial"/>
                <w:sz w:val="12"/>
                <w:szCs w:val="12"/>
                <w:color w:val="auto"/>
              </w:rPr>
              <w:t>Percentage of total revenue</w:t>
            </w: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540" w:firstLine="326"/>
        <w:spacing w:after="0" w:line="239" w:lineRule="auto"/>
        <w:rPr>
          <w:sz w:val="20"/>
          <w:szCs w:val="20"/>
          <w:color w:val="auto"/>
        </w:rPr>
      </w:pPr>
      <w:r>
        <w:rPr>
          <w:rFonts w:ascii="Arial" w:cs="Arial" w:eastAsia="Arial" w:hAnsi="Arial"/>
          <w:sz w:val="12"/>
          <w:szCs w:val="12"/>
          <w:color w:val="auto"/>
        </w:rPr>
        <w:t>General and administrative expenses increased $7.0 million, or 120%, in the year ended December 31, 2016 compared to the year ended December 31, 2015. The change primarily reflected an increase of $2.3 million of salaries and employee-related costs as a result of our 157%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80"/>
        <w:spacing w:after="0" w:line="239" w:lineRule="auto"/>
        <w:rPr>
          <w:sz w:val="20"/>
          <w:szCs w:val="20"/>
          <w:color w:val="auto"/>
        </w:rPr>
      </w:pPr>
      <w:r>
        <w:rPr>
          <w:rFonts w:ascii="Arial" w:cs="Arial" w:eastAsia="Arial" w:hAnsi="Arial"/>
          <w:sz w:val="12"/>
          <w:szCs w:val="12"/>
          <w:color w:val="auto"/>
        </w:rPr>
        <w:t>increase in headcount as we continue to grow our business and require additional personnel to support our expanded operations, a $1.5 million increase in payment processing and billing costs due to increased customer transactions from higher revenue, a $1.5 million increase in legal fees for litigation and other services, and a $0.5 million increase from external consulting fees including audit and tax services.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20" w:type="dxa"/>
            <w:vAlign w:val="bottom"/>
            <w:gridSpan w:val="2"/>
          </w:tcPr>
          <w:p>
            <w:pPr>
              <w:spacing w:after="0"/>
              <w:rPr>
                <w:sz w:val="20"/>
                <w:szCs w:val="20"/>
                <w:color w:val="auto"/>
              </w:rPr>
            </w:pPr>
            <w:r>
              <w:rPr>
                <w:rFonts w:ascii="Arial" w:cs="Arial" w:eastAsia="Arial" w:hAnsi="Arial"/>
                <w:sz w:val="12"/>
                <w:szCs w:val="12"/>
                <w:i w:val="1"/>
                <w:iCs w:val="1"/>
                <w:color w:val="auto"/>
              </w:rPr>
              <w:t>Depreciation and Amortization Expenses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4"/>
        </w:trPr>
        <w:tc>
          <w:tcPr>
            <w:tcW w:w="17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6"/>
          </w:tcPr>
          <w:p>
            <w:pPr>
              <w:jc w:val="right"/>
              <w:ind w:right="360"/>
              <w:spacing w:after="0"/>
              <w:rPr>
                <w:sz w:val="20"/>
                <w:szCs w:val="20"/>
                <w:color w:val="auto"/>
              </w:rPr>
            </w:pPr>
            <w:r>
              <w:rPr>
                <w:rFonts w:ascii="Arial" w:cs="Arial" w:eastAsia="Arial" w:hAnsi="Arial"/>
                <w:sz w:val="12"/>
                <w:szCs w:val="12"/>
                <w:color w:val="auto"/>
              </w:rPr>
              <w:t>Year Ended</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17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6"/>
          </w:tcPr>
          <w:p>
            <w:pPr>
              <w:jc w:val="right"/>
              <w:ind w:right="300"/>
              <w:spacing w:after="0" w:line="133" w:lineRule="exact"/>
              <w:rPr>
                <w:sz w:val="20"/>
                <w:szCs w:val="20"/>
                <w:color w:val="auto"/>
              </w:rPr>
            </w:pPr>
            <w:r>
              <w:rPr>
                <w:rFonts w:ascii="Arial" w:cs="Arial" w:eastAsia="Arial" w:hAnsi="Arial"/>
                <w:sz w:val="12"/>
                <w:szCs w:val="12"/>
                <w:color w:val="auto"/>
              </w:rPr>
              <w:t>December 31,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ind w:left="260"/>
              <w:spacing w:after="0" w:line="133" w:lineRule="exact"/>
              <w:rPr>
                <w:sz w:val="20"/>
                <w:szCs w:val="20"/>
                <w:color w:val="auto"/>
              </w:rPr>
            </w:pPr>
            <w:r>
              <w:rPr>
                <w:rFonts w:ascii="Arial" w:cs="Arial" w:eastAsia="Arial" w:hAnsi="Arial"/>
                <w:sz w:val="12"/>
                <w:szCs w:val="12"/>
                <w:color w:val="auto"/>
                <w:w w:val="99"/>
              </w:rPr>
              <w:t>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1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7"/>
          </w:tcPr>
          <w:p>
            <w:pPr>
              <w:ind w:left="20"/>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720" w:type="dxa"/>
            <w:vAlign w:val="bottom"/>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Depreciation and amortization</w:t>
            </w:r>
          </w:p>
        </w:tc>
        <w:tc>
          <w:tcPr>
            <w:tcW w:w="2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969</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1,634</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w w:val="91"/>
              </w:rPr>
              <w:t>69%</w:t>
            </w:r>
          </w:p>
        </w:tc>
      </w:tr>
      <w:tr>
        <w:trPr>
          <w:trHeight w:val="142"/>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Percentage of total revenue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540" w:firstLine="326"/>
        <w:spacing w:after="0" w:line="239" w:lineRule="auto"/>
        <w:rPr>
          <w:sz w:val="20"/>
          <w:szCs w:val="20"/>
          <w:color w:val="auto"/>
        </w:rPr>
      </w:pPr>
      <w:r>
        <w:rPr>
          <w:rFonts w:ascii="Arial" w:cs="Arial" w:eastAsia="Arial" w:hAnsi="Arial"/>
          <w:sz w:val="12"/>
          <w:szCs w:val="12"/>
          <w:color w:val="auto"/>
        </w:rPr>
        <w:t>Depreciation and amortization expenses increased $0.7 million, or 69%, in the year ended December 31, 2016 compared to the year ended December 31, 2015, due primarily to increased depreciation and amortization of additional leasehold improvements.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Other (Expense) Income</w:t>
            </w:r>
          </w:p>
        </w:tc>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4"/>
        </w:trPr>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5"/>
          </w:tcPr>
          <w:p>
            <w:pPr>
              <w:jc w:val="center"/>
              <w:ind w:left="61"/>
              <w:spacing w:after="0"/>
              <w:rPr>
                <w:sz w:val="20"/>
                <w:szCs w:val="20"/>
                <w:color w:val="auto"/>
              </w:rPr>
            </w:pPr>
            <w:r>
              <w:rPr>
                <w:rFonts w:ascii="Arial" w:cs="Arial" w:eastAsia="Arial" w:hAnsi="Arial"/>
                <w:sz w:val="12"/>
                <w:szCs w:val="12"/>
                <w:color w:val="auto"/>
                <w:w w:val="97"/>
              </w:rPr>
              <w:t>Year Ended</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33"/>
        </w:trPr>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center"/>
              <w:ind w:left="61"/>
              <w:spacing w:after="0" w:line="133"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300"/>
              <w:spacing w:after="0" w:line="133" w:lineRule="exact"/>
              <w:rPr>
                <w:sz w:val="20"/>
                <w:szCs w:val="20"/>
                <w:color w:val="auto"/>
              </w:rPr>
            </w:pPr>
            <w:r>
              <w:rPr>
                <w:rFonts w:ascii="Arial" w:cs="Arial" w:eastAsia="Arial" w:hAnsi="Arial"/>
                <w:sz w:val="12"/>
                <w:szCs w:val="12"/>
                <w:color w:val="auto"/>
              </w:rPr>
              <w:t>Change</w:t>
            </w:r>
          </w:p>
        </w:tc>
      </w:tr>
      <w:tr>
        <w:trPr>
          <w:trHeight w:val="142"/>
        </w:trPr>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201"/>
              <w:spacing w:after="0"/>
              <w:rPr>
                <w:sz w:val="20"/>
                <w:szCs w:val="20"/>
                <w:color w:val="auto"/>
              </w:rPr>
            </w:pPr>
            <w:r>
              <w:rPr>
                <w:rFonts w:ascii="Arial" w:cs="Arial" w:eastAsia="Arial" w:hAnsi="Arial"/>
                <w:sz w:val="12"/>
                <w:szCs w:val="12"/>
                <w:color w:val="auto"/>
                <w:w w:val="95"/>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Other (expense) income, net</w:t>
            </w:r>
          </w:p>
        </w:tc>
        <w:tc>
          <w:tcPr>
            <w:tcW w:w="2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w:t>
            </w:r>
          </w:p>
        </w:tc>
        <w:tc>
          <w:tcPr>
            <w:tcW w:w="160" w:type="dxa"/>
            <w:vAlign w:val="bottom"/>
            <w:gridSpan w:val="2"/>
            <w:shd w:val="clear" w:color="auto" w:fill="CCEEFF"/>
          </w:tcPr>
          <w:p>
            <w:pPr>
              <w:jc w:val="center"/>
              <w:ind w:left="1"/>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374</w:t>
            </w:r>
          </w:p>
        </w:tc>
        <w:tc>
          <w:tcPr>
            <w:tcW w:w="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NM</w:t>
            </w:r>
          </w:p>
        </w:tc>
      </w:tr>
      <w:tr>
        <w:trPr>
          <w:trHeight w:val="142"/>
        </w:trPr>
        <w:tc>
          <w:tcPr>
            <w:tcW w:w="1140" w:type="dxa"/>
            <w:vAlign w:val="bottom"/>
          </w:tcPr>
          <w:p>
            <w:pPr>
              <w:spacing w:after="0"/>
              <w:rPr>
                <w:sz w:val="12"/>
                <w:szCs w:val="12"/>
                <w:color w:val="auto"/>
              </w:rPr>
            </w:pPr>
          </w:p>
        </w:tc>
        <w:tc>
          <w:tcPr>
            <w:tcW w:w="4040" w:type="dxa"/>
            <w:vAlign w:val="bottom"/>
            <w:gridSpan w:val="2"/>
          </w:tcPr>
          <w:p>
            <w:pPr>
              <w:spacing w:after="0"/>
              <w:rPr>
                <w:sz w:val="20"/>
                <w:szCs w:val="20"/>
                <w:color w:val="auto"/>
              </w:rPr>
            </w:pPr>
            <w:r>
              <w:rPr>
                <w:rFonts w:ascii="Arial" w:cs="Arial" w:eastAsia="Arial" w:hAnsi="Arial"/>
                <w:sz w:val="12"/>
                <w:szCs w:val="12"/>
                <w:color w:val="auto"/>
              </w:rPr>
              <w:t>Percentage of total revenue</w:t>
            </w: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65"/>
        </w:trPr>
        <w:tc>
          <w:tcPr>
            <w:tcW w:w="11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right="180" w:firstLine="326"/>
        <w:spacing w:after="0" w:line="239" w:lineRule="auto"/>
        <w:rPr>
          <w:sz w:val="20"/>
          <w:szCs w:val="20"/>
          <w:color w:val="auto"/>
        </w:rPr>
      </w:pPr>
      <w:r>
        <w:rPr>
          <w:rFonts w:ascii="Arial" w:cs="Arial" w:eastAsia="Arial" w:hAnsi="Arial"/>
          <w:sz w:val="12"/>
          <w:szCs w:val="12"/>
          <w:color w:val="auto"/>
        </w:rPr>
        <w:t>Other (expense) income, increased $0.4 million in the year ended December 31, 2016 compared to the year ended December 31, 2015, due primarily to the investment of cash in certificates of deposit and money market funds due to our increased cash from operations and the issuances of preferred stock in financing transactions.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(Benefit from) Provision for Income Taxes</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4"/>
        </w:trPr>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2"/>
                <w:szCs w:val="12"/>
                <w:color w:val="auto"/>
                <w:w w:val="97"/>
              </w:rPr>
              <w:t>Year Ended</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33"/>
        </w:trPr>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6"/>
          </w:tcPr>
          <w:p>
            <w:pPr>
              <w:jc w:val="center"/>
              <w:ind w:right="60"/>
              <w:spacing w:after="0" w:line="133" w:lineRule="exact"/>
              <w:rPr>
                <w:sz w:val="20"/>
                <w:szCs w:val="20"/>
                <w:color w:val="auto"/>
              </w:rPr>
            </w:pPr>
            <w:r>
              <w:rPr>
                <w:rFonts w:ascii="Arial" w:cs="Arial" w:eastAsia="Arial" w:hAnsi="Arial"/>
                <w:sz w:val="12"/>
                <w:szCs w:val="12"/>
                <w:color w:val="auto"/>
                <w:w w:val="98"/>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260"/>
              <w:spacing w:after="0" w:line="133" w:lineRule="exact"/>
              <w:rPr>
                <w:sz w:val="20"/>
                <w:szCs w:val="20"/>
                <w:color w:val="auto"/>
              </w:rPr>
            </w:pPr>
            <w:r>
              <w:rPr>
                <w:rFonts w:ascii="Arial" w:cs="Arial" w:eastAsia="Arial" w:hAnsi="Arial"/>
                <w:sz w:val="12"/>
                <w:szCs w:val="12"/>
                <w:color w:val="auto"/>
              </w:rPr>
              <w:t>Change</w:t>
            </w:r>
          </w:p>
        </w:tc>
      </w:tr>
      <w:tr>
        <w:trPr>
          <w:trHeight w:val="142"/>
        </w:trPr>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97"/>
              </w:rPr>
              <w:t>2016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7"/>
          </w:tcPr>
          <w:p>
            <w:pPr>
              <w:jc w:val="right"/>
              <w:ind w:right="281"/>
              <w:spacing w:after="0"/>
              <w:rPr>
                <w:sz w:val="20"/>
                <w:szCs w:val="20"/>
                <w:color w:val="auto"/>
              </w:rPr>
            </w:pPr>
            <w:r>
              <w:rPr>
                <w:rFonts w:ascii="Arial" w:cs="Arial" w:eastAsia="Arial" w:hAnsi="Arial"/>
                <w:sz w:val="12"/>
                <w:szCs w:val="12"/>
                <w:color w:val="auto"/>
              </w:rPr>
              <w:t>(dollars in thousands)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1140" w:type="dxa"/>
            <w:vAlign w:val="bottom"/>
          </w:tcPr>
          <w:p>
            <w:pPr>
              <w:spacing w:after="0"/>
              <w:rPr>
                <w:sz w:val="11"/>
                <w:szCs w:val="11"/>
                <w:color w:val="auto"/>
              </w:rPr>
            </w:pPr>
          </w:p>
        </w:tc>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(Benefit from) provision for income taxes</w:t>
            </w:r>
          </w:p>
        </w:tc>
        <w:tc>
          <w:tcPr>
            <w:tcW w:w="2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1"/>
              <w:spacing w:after="0" w:line="135" w:lineRule="exact"/>
              <w:rPr>
                <w:sz w:val="20"/>
                <w:szCs w:val="20"/>
                <w:color w:val="auto"/>
              </w:rPr>
            </w:pPr>
            <w:r>
              <w:rPr>
                <w:rFonts w:ascii="Arial" w:cs="Arial" w:eastAsia="Arial" w:hAnsi="Arial"/>
                <w:sz w:val="12"/>
                <w:szCs w:val="12"/>
                <w:color w:val="auto"/>
              </w:rPr>
              <w:t>(904)</w:t>
            </w: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2,448</w:t>
            </w:r>
          </w:p>
        </w:tc>
        <w:tc>
          <w:tcPr>
            <w:tcW w:w="1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3,352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NM</w:t>
            </w:r>
          </w:p>
        </w:tc>
      </w:tr>
      <w:tr>
        <w:trPr>
          <w:trHeight w:val="142"/>
        </w:trPr>
        <w:tc>
          <w:tcPr>
            <w:tcW w:w="114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Arial" w:cs="Arial" w:eastAsia="Arial" w:hAnsi="Arial"/>
                <w:sz w:val="12"/>
                <w:szCs w:val="12"/>
                <w:color w:val="auto"/>
              </w:rPr>
              <w:t>Percentage of total revenue</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65"/>
        </w:trPr>
        <w:tc>
          <w:tcPr>
            <w:tcW w:w="11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provision for income taxes increased $3.4 million in the year ended December 31, 2016 compared to the year ended December 31, 2015. In 2016, we recorded a tax provision on earnings with an effective tax rate of 27.4%. In 2015, we recorded a tax benefit of $0.9 million, or 35.6% effective tax benefit, as a result of our taxable loss position for that period. The Company's effective tax rate for the year ended December 31, 2016 is lower than the U.S. federal statutory rate primarily due to research and development income tax credits. The Company anticipates credits, primarily related to research and development tax credits, to continue to impact the effective tax rate in the future.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38"/>
        </w:trPr>
        <w:tc>
          <w:tcPr>
            <w:tcW w:w="5260" w:type="dxa"/>
            <w:vAlign w:val="bottom"/>
            <w:gridSpan w:val="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4"/>
        </w:trPr>
        <w:tc>
          <w:tcPr>
            <w:tcW w:w="526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(Loss) Income from Operations by Segment</w:t>
            </w: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4"/>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2"/>
                <w:szCs w:val="12"/>
                <w:color w:val="auto"/>
              </w:rPr>
              <w:t>Year Ended</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5"/>
          </w:tcPr>
          <w:p>
            <w:pPr>
              <w:jc w:val="right"/>
              <w:ind w:right="400"/>
              <w:spacing w:after="0" w:line="133" w:lineRule="exact"/>
              <w:rPr>
                <w:sz w:val="20"/>
                <w:szCs w:val="20"/>
                <w:color w:val="auto"/>
              </w:rPr>
            </w:pPr>
            <w:r>
              <w:rPr>
                <w:rFonts w:ascii="Arial" w:cs="Arial" w:eastAsia="Arial" w:hAnsi="Arial"/>
                <w:sz w:val="12"/>
                <w:szCs w:val="12"/>
                <w:color w:val="auto"/>
              </w:rPr>
              <w:t>December 31,</w:t>
            </w:r>
          </w:p>
        </w:tc>
        <w:tc>
          <w:tcPr>
            <w:tcW w:w="180" w:type="dxa"/>
            <w:vAlign w:val="bottom"/>
          </w:tcPr>
          <w:p>
            <w:pPr>
              <w:spacing w:after="0"/>
              <w:rPr>
                <w:sz w:val="11"/>
                <w:szCs w:val="11"/>
                <w:color w:val="auto"/>
              </w:rPr>
            </w:pPr>
          </w:p>
        </w:tc>
        <w:tc>
          <w:tcPr>
            <w:tcW w:w="7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Change</w:t>
            </w:r>
          </w:p>
        </w:tc>
        <w:tc>
          <w:tcPr>
            <w:tcW w:w="200" w:type="dxa"/>
            <w:vAlign w:val="bottom"/>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2015</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Amount</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93"/>
              </w:rPr>
              <w:t>%</w:t>
            </w: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2"/>
                <w:szCs w:val="12"/>
                <w:color w:val="auto"/>
                <w:w w:val="99"/>
              </w:rPr>
              <w:t>(dollars in thousands)</w:t>
            </w:r>
          </w:p>
        </w:tc>
        <w:tc>
          <w:tcPr>
            <w:tcW w:w="20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52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27,461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26,824</w:t>
            </w: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NM</w:t>
            </w: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gridSpan w:val="2"/>
          </w:tcPr>
          <w:p>
            <w:pPr>
              <w:spacing w:after="0" w:line="135" w:lineRule="exact"/>
              <w:rPr>
                <w:sz w:val="20"/>
                <w:szCs w:val="20"/>
                <w:color w:val="auto"/>
              </w:rPr>
            </w:pPr>
            <w:r>
              <w:rPr>
                <w:rFonts w:ascii="Arial" w:cs="Arial" w:eastAsia="Arial" w:hAnsi="Arial"/>
                <w:sz w:val="12"/>
                <w:szCs w:val="12"/>
                <w:color w:val="auto"/>
              </w:rPr>
              <w:t>International</w:t>
            </w: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(3,165)</w:t>
            </w:r>
          </w:p>
        </w:tc>
        <w:tc>
          <w:tcPr>
            <w:tcW w:w="12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(18,890)</w:t>
            </w:r>
          </w:p>
        </w:tc>
        <w:tc>
          <w:tcPr>
            <w:tcW w:w="1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(15,725)</w:t>
            </w:r>
          </w:p>
        </w:tc>
        <w:tc>
          <w:tcPr>
            <w:tcW w:w="200" w:type="dxa"/>
            <w:vAlign w:val="bottom"/>
          </w:tcPr>
          <w:p>
            <w:pPr>
              <w:jc w:val="center"/>
              <w:spacing w:after="0" w:line="135" w:lineRule="exact"/>
              <w:rPr>
                <w:sz w:val="20"/>
                <w:szCs w:val="20"/>
                <w:color w:val="auto"/>
              </w:rPr>
            </w:pPr>
            <w:r>
              <w:rPr>
                <w:rFonts w:ascii="Arial" w:cs="Arial" w:eastAsia="Arial" w:hAnsi="Arial"/>
                <w:sz w:val="12"/>
                <w:szCs w:val="12"/>
                <w:color w:val="auto"/>
                <w:w w:val="96"/>
              </w:rPr>
              <w:t>NM</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24"/>
        </w:trPr>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20" w:type="dxa"/>
            <w:vAlign w:val="bottom"/>
            <w:gridSpan w:val="2"/>
            <w:shd w:val="clear" w:color="auto" w:fill="CCEEFF"/>
          </w:tcPr>
          <w:p>
            <w:pPr>
              <w:ind w:left="120"/>
              <w:spacing w:after="0" w:line="124" w:lineRule="exact"/>
              <w:rPr>
                <w:sz w:val="20"/>
                <w:szCs w:val="20"/>
                <w:color w:val="auto"/>
              </w:rPr>
            </w:pPr>
            <w:r>
              <w:rPr>
                <w:rFonts w:ascii="Arial" w:cs="Arial" w:eastAsia="Arial" w:hAnsi="Arial"/>
                <w:sz w:val="12"/>
                <w:szCs w:val="12"/>
                <w:color w:val="auto"/>
              </w:rPr>
              <w:t>Total</w:t>
            </w:r>
          </w:p>
        </w:tc>
        <w:tc>
          <w:tcPr>
            <w:tcW w:w="232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(2,528)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8,571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11,099</w:t>
            </w: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6"/>
              </w:rPr>
              <w:t>NM</w:t>
            </w:r>
          </w:p>
        </w:tc>
      </w:tr>
      <w:tr>
        <w:trPr>
          <w:trHeight w:val="124"/>
        </w:trPr>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Percentage of segment revenue:</w:t>
            </w:r>
          </w:p>
        </w:tc>
        <w:tc>
          <w:tcPr>
            <w:tcW w:w="2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2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2"/>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International</w:t>
            </w: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NM</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NM</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65"/>
        </w:trPr>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NM — Not Meaningful</w:t>
      </w:r>
    </w:p>
    <w:p>
      <w:pPr>
        <w:spacing w:after="0" w:line="136"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U.S. income from operations increased $26.8 million in the year ended December 31, 2016 compared to the year ended December 31, 2015. This increase was due to an increase in revenue of $97.3 million, offset in part by the increase in cost of revenue of $4.3 million and operating expenses of $66.2 million.</w:t>
      </w:r>
    </w:p>
    <w:p>
      <w:pPr>
        <w:spacing w:after="0" w:line="139" w:lineRule="exact"/>
        <w:rPr>
          <w:sz w:val="20"/>
          <w:szCs w:val="20"/>
          <w:color w:val="auto"/>
        </w:rPr>
      </w:pPr>
    </w:p>
    <w:p>
      <w:pPr>
        <w:ind w:right="380" w:firstLine="326"/>
        <w:spacing w:after="0" w:line="239" w:lineRule="auto"/>
        <w:rPr>
          <w:sz w:val="20"/>
          <w:szCs w:val="20"/>
          <w:color w:val="auto"/>
        </w:rPr>
      </w:pPr>
      <w:r>
        <w:rPr>
          <w:rFonts w:ascii="Arial" w:cs="Arial" w:eastAsia="Arial" w:hAnsi="Arial"/>
          <w:sz w:val="12"/>
          <w:szCs w:val="12"/>
          <w:color w:val="auto"/>
        </w:rPr>
        <w:t>International loss from operations increased $15.7 million in the year ended December 31, 2016 compared to the year ended December 31, 2015. The increase in International loss from operations reflects our continued investment into international markets and expansion into new countries.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19" w:right="21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Quarterly Results of Operations Data</w:t>
      </w:r>
    </w:p>
    <w:p>
      <w:pPr>
        <w:spacing w:after="0" w:line="155" w:lineRule="exact"/>
        <w:rPr>
          <w:sz w:val="20"/>
          <w:szCs w:val="20"/>
          <w:color w:val="auto"/>
        </w:rPr>
      </w:pPr>
    </w:p>
    <w:p>
      <w:pPr>
        <w:jc w:val="both"/>
        <w:ind w:firstLine="323"/>
        <w:spacing w:after="0" w:line="237" w:lineRule="auto"/>
        <w:rPr>
          <w:sz w:val="20"/>
          <w:szCs w:val="20"/>
          <w:color w:val="auto"/>
        </w:rPr>
      </w:pPr>
      <w:r>
        <w:rPr>
          <w:rFonts w:ascii="Arial" w:cs="Arial" w:eastAsia="Arial" w:hAnsi="Arial"/>
          <w:sz w:val="12"/>
          <w:szCs w:val="12"/>
          <w:color w:val="auto"/>
        </w:rPr>
        <w:t>The following table sets forth our quarterly consolidated statements of operations data for each of the most recent ten quarters ending with the quarter ended June 30, 2017. We have prepared the quarterly data on a basis consistent with the audited consolidated financial statements included elsewhere in this prospectus. In the opinion of management, the financial information reflects all necessary adjustments, consisting only of normal recurring adjustments, necessary for a fair presentation of this data. This information should be read in conjunction with the audited consolidated financial statements and related notes included elsewhere in this prospectus. The results of historical periods are not necessarily indicative of the results to be expected for a full year or any future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color w:val="auto"/>
              </w:rPr>
              <w:t>Three Months Ended</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March 31,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98"/>
              </w:rPr>
              <w:t>June 30,</w:t>
            </w: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7"/>
              </w:rPr>
              <w:t>September 30,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40"/>
              <w:spacing w:after="0" w:line="112" w:lineRule="exact"/>
              <w:rPr>
                <w:sz w:val="20"/>
                <w:szCs w:val="20"/>
                <w:color w:val="auto"/>
              </w:rPr>
            </w:pPr>
            <w:r>
              <w:rPr>
                <w:rFonts w:ascii="Arial" w:cs="Arial" w:eastAsia="Arial" w:hAnsi="Arial"/>
                <w:sz w:val="10"/>
                <w:szCs w:val="10"/>
                <w:color w:val="auto"/>
              </w:rPr>
              <w:t>December 31,</w:t>
            </w:r>
          </w:p>
        </w:tc>
        <w:tc>
          <w:tcPr>
            <w:tcW w:w="100" w:type="dxa"/>
            <w:vAlign w:val="bottom"/>
          </w:tcPr>
          <w:p>
            <w:pPr>
              <w:spacing w:after="0"/>
              <w:rPr>
                <w:sz w:val="9"/>
                <w:szCs w:val="9"/>
                <w:color w:val="auto"/>
              </w:rPr>
            </w:pPr>
          </w:p>
        </w:tc>
        <w:tc>
          <w:tcPr>
            <w:tcW w:w="600" w:type="dxa"/>
            <w:vAlign w:val="bottom"/>
            <w:gridSpan w:val="2"/>
          </w:tcPr>
          <w:p>
            <w:pPr>
              <w:ind w:left="60"/>
              <w:spacing w:after="0" w:line="112" w:lineRule="exact"/>
              <w:rPr>
                <w:sz w:val="20"/>
                <w:szCs w:val="20"/>
                <w:color w:val="auto"/>
              </w:rPr>
            </w:pPr>
            <w:r>
              <w:rPr>
                <w:rFonts w:ascii="Arial" w:cs="Arial" w:eastAsia="Arial" w:hAnsi="Arial"/>
                <w:sz w:val="10"/>
                <w:szCs w:val="10"/>
                <w:color w:val="auto"/>
              </w:rPr>
              <w:t>March 31,</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98"/>
              </w:rPr>
              <w:t>June 30,</w:t>
            </w:r>
          </w:p>
        </w:tc>
        <w:tc>
          <w:tcPr>
            <w:tcW w:w="120" w:type="dxa"/>
            <w:vAlign w:val="bottom"/>
          </w:tcPr>
          <w:p>
            <w:pPr>
              <w:spacing w:after="0"/>
              <w:rPr>
                <w:sz w:val="9"/>
                <w:szCs w:val="9"/>
                <w:color w:val="auto"/>
              </w:rPr>
            </w:pPr>
          </w:p>
        </w:tc>
        <w:tc>
          <w:tcPr>
            <w:tcW w:w="860" w:type="dxa"/>
            <w:vAlign w:val="bottom"/>
            <w:gridSpan w:val="2"/>
          </w:tcPr>
          <w:p>
            <w:pPr>
              <w:ind w:left="60"/>
              <w:spacing w:after="0" w:line="112" w:lineRule="exact"/>
              <w:rPr>
                <w:sz w:val="20"/>
                <w:szCs w:val="20"/>
                <w:color w:val="auto"/>
              </w:rPr>
            </w:pPr>
            <w:r>
              <w:rPr>
                <w:rFonts w:ascii="Arial" w:cs="Arial" w:eastAsia="Arial" w:hAnsi="Arial"/>
                <w:sz w:val="10"/>
                <w:szCs w:val="10"/>
                <w:color w:val="auto"/>
              </w:rPr>
              <w:t>September 30,</w:t>
            </w:r>
          </w:p>
        </w:tc>
        <w:tc>
          <w:tcPr>
            <w:tcW w:w="100" w:type="dxa"/>
            <w:vAlign w:val="bottom"/>
          </w:tcPr>
          <w:p>
            <w:pPr>
              <w:spacing w:after="0"/>
              <w:rPr>
                <w:sz w:val="9"/>
                <w:szCs w:val="9"/>
                <w:color w:val="auto"/>
              </w:rPr>
            </w:pPr>
          </w:p>
        </w:tc>
        <w:tc>
          <w:tcPr>
            <w:tcW w:w="800" w:type="dxa"/>
            <w:vAlign w:val="bottom"/>
            <w:gridSpan w:val="2"/>
          </w:tcPr>
          <w:p>
            <w:pPr>
              <w:ind w:left="60"/>
              <w:spacing w:after="0" w:line="112" w:lineRule="exact"/>
              <w:rPr>
                <w:sz w:val="20"/>
                <w:szCs w:val="20"/>
                <w:color w:val="auto"/>
              </w:rPr>
            </w:pPr>
            <w:r>
              <w:rPr>
                <w:rFonts w:ascii="Arial" w:cs="Arial" w:eastAsia="Arial" w:hAnsi="Arial"/>
                <w:sz w:val="10"/>
                <w:szCs w:val="10"/>
                <w:color w:val="auto"/>
              </w:rPr>
              <w:t>December 31,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2" w:lineRule="exact"/>
              <w:rPr>
                <w:sz w:val="20"/>
                <w:szCs w:val="20"/>
                <w:color w:val="auto"/>
              </w:rPr>
            </w:pPr>
            <w:r>
              <w:rPr>
                <w:rFonts w:ascii="Arial" w:cs="Arial" w:eastAsia="Arial" w:hAnsi="Arial"/>
                <w:sz w:val="10"/>
                <w:szCs w:val="10"/>
                <w:color w:val="auto"/>
              </w:rPr>
              <w:t>March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20"/>
              <w:spacing w:after="0" w:line="112" w:lineRule="exact"/>
              <w:rPr>
                <w:sz w:val="20"/>
                <w:szCs w:val="20"/>
                <w:color w:val="auto"/>
              </w:rPr>
            </w:pPr>
            <w:r>
              <w:rPr>
                <w:rFonts w:ascii="Arial" w:cs="Arial" w:eastAsia="Arial" w:hAnsi="Arial"/>
                <w:sz w:val="10"/>
                <w:szCs w:val="10"/>
                <w:color w:val="auto"/>
                <w:w w:val="93"/>
              </w:rPr>
              <w:t>June 30,</w:t>
            </w: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32"/>
              <w:spacing w:after="0" w:line="105" w:lineRule="exact"/>
              <w:rPr>
                <w:sz w:val="20"/>
                <w:szCs w:val="20"/>
                <w:color w:val="auto"/>
              </w:rPr>
            </w:pPr>
            <w:r>
              <w:rPr>
                <w:rFonts w:ascii="Arial" w:cs="Arial" w:eastAsia="Arial" w:hAnsi="Arial"/>
                <w:sz w:val="10"/>
                <w:szCs w:val="10"/>
                <w:color w:val="auto"/>
              </w:rPr>
              <w:t>2015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2015</w:t>
            </w: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52"/>
              <w:spacing w:after="0" w:line="105" w:lineRule="exact"/>
              <w:rPr>
                <w:sz w:val="20"/>
                <w:szCs w:val="20"/>
                <w:color w:val="auto"/>
              </w:rPr>
            </w:pPr>
            <w:r>
              <w:rPr>
                <w:rFonts w:ascii="Arial" w:cs="Arial" w:eastAsia="Arial" w:hAnsi="Arial"/>
                <w:sz w:val="10"/>
                <w:szCs w:val="10"/>
                <w:color w:val="auto"/>
              </w:rPr>
              <w:t>2015</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2"/>
              <w:spacing w:after="0" w:line="105" w:lineRule="exact"/>
              <w:rPr>
                <w:sz w:val="20"/>
                <w:szCs w:val="20"/>
                <w:color w:val="auto"/>
              </w:rPr>
            </w:pPr>
            <w:r>
              <w:rPr>
                <w:rFonts w:ascii="Arial" w:cs="Arial" w:eastAsia="Arial" w:hAnsi="Arial"/>
                <w:sz w:val="10"/>
                <w:szCs w:val="10"/>
                <w:color w:val="auto"/>
              </w:rPr>
              <w:t>2015</w:t>
            </w: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2"/>
              <w:spacing w:after="0" w:line="105" w:lineRule="exact"/>
              <w:rPr>
                <w:sz w:val="20"/>
                <w:szCs w:val="20"/>
                <w:color w:val="auto"/>
              </w:rPr>
            </w:pPr>
            <w:r>
              <w:rPr>
                <w:rFonts w:ascii="Arial" w:cs="Arial" w:eastAsia="Arial" w:hAnsi="Arial"/>
                <w:sz w:val="10"/>
                <w:szCs w:val="10"/>
                <w:color w:val="auto"/>
              </w:rPr>
              <w:t>2016</w:t>
            </w: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2016</w:t>
            </w: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72"/>
              <w:spacing w:after="0" w:line="105" w:lineRule="exact"/>
              <w:rPr>
                <w:sz w:val="20"/>
                <w:szCs w:val="20"/>
                <w:color w:val="auto"/>
              </w:rPr>
            </w:pPr>
            <w:r>
              <w:rPr>
                <w:rFonts w:ascii="Arial" w:cs="Arial" w:eastAsia="Arial" w:hAnsi="Arial"/>
                <w:sz w:val="10"/>
                <w:szCs w:val="10"/>
                <w:color w:val="auto"/>
              </w:rPr>
              <w:t>2016</w:t>
            </w: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2"/>
              <w:spacing w:after="0" w:line="105" w:lineRule="exact"/>
              <w:rPr>
                <w:sz w:val="20"/>
                <w:szCs w:val="20"/>
                <w:color w:val="auto"/>
              </w:rPr>
            </w:pPr>
            <w:r>
              <w:rPr>
                <w:rFonts w:ascii="Arial" w:cs="Arial" w:eastAsia="Arial" w:hAnsi="Arial"/>
                <w:sz w:val="10"/>
                <w:szCs w:val="10"/>
                <w:color w:val="auto"/>
              </w:rPr>
              <w:t>2016</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32"/>
              <w:spacing w:after="0" w:line="105" w:lineRule="exact"/>
              <w:rPr>
                <w:sz w:val="20"/>
                <w:szCs w:val="20"/>
                <w:color w:val="auto"/>
              </w:rPr>
            </w:pPr>
            <w:r>
              <w:rPr>
                <w:rFonts w:ascii="Arial" w:cs="Arial" w:eastAsia="Arial" w:hAnsi="Arial"/>
                <w:sz w:val="10"/>
                <w:szCs w:val="10"/>
                <w:color w:val="auto"/>
              </w:rPr>
              <w:t>2017</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right"/>
              <w:ind w:right="320"/>
              <w:spacing w:after="0"/>
              <w:rPr>
                <w:sz w:val="20"/>
                <w:szCs w:val="20"/>
                <w:color w:val="auto"/>
              </w:rPr>
            </w:pPr>
            <w:r>
              <w:rPr>
                <w:rFonts w:ascii="Arial" w:cs="Arial" w:eastAsia="Arial" w:hAnsi="Arial"/>
                <w:sz w:val="10"/>
                <w:szCs w:val="10"/>
                <w:color w:val="auto"/>
              </w:rPr>
              <w:t>(in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8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80" w:type="dxa"/>
            <w:vAlign w:val="bottom"/>
            <w:gridSpan w:val="3"/>
          </w:tcPr>
          <w:p>
            <w:pPr>
              <w:ind w:left="60"/>
              <w:spacing w:after="0" w:line="108" w:lineRule="exact"/>
              <w:rPr>
                <w:sz w:val="20"/>
                <w:szCs w:val="20"/>
                <w:color w:val="auto"/>
              </w:rPr>
            </w:pPr>
            <w:r>
              <w:rPr>
                <w:rFonts w:ascii="Arial" w:cs="Arial" w:eastAsia="Arial" w:hAnsi="Arial"/>
                <w:sz w:val="10"/>
                <w:szCs w:val="10"/>
                <w:color w:val="auto"/>
              </w:rPr>
              <w:t>Marketplace subscription</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11,601</w:t>
            </w:r>
          </w:p>
        </w:tc>
        <w:tc>
          <w:tcPr>
            <w:tcW w:w="1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16,208</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21,080</w:t>
            </w:r>
          </w:p>
        </w:tc>
        <w:tc>
          <w:tcPr>
            <w:tcW w:w="1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26,253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32,138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39,500</w:t>
            </w:r>
          </w:p>
        </w:tc>
        <w:tc>
          <w:tcPr>
            <w:tcW w:w="120" w:type="dxa"/>
            <w:vAlign w:val="bottom"/>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46,477</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53,187</w:t>
            </w:r>
          </w:p>
        </w:tc>
        <w:tc>
          <w:tcPr>
            <w:tcW w:w="1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60,172</w:t>
            </w:r>
          </w:p>
        </w:tc>
        <w:tc>
          <w:tcPr>
            <w:tcW w:w="1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67,780</w:t>
            </w:r>
          </w:p>
        </w:tc>
        <w:tc>
          <w:tcPr>
            <w:tcW w:w="0" w:type="dxa"/>
            <w:vAlign w:val="bottom"/>
          </w:tcPr>
          <w:p>
            <w:pPr>
              <w:spacing w:after="0"/>
              <w:rPr>
                <w:sz w:val="1"/>
                <w:szCs w:val="1"/>
                <w:color w:val="auto"/>
              </w:rPr>
            </w:pPr>
          </w:p>
        </w:tc>
      </w:tr>
      <w:tr>
        <w:trPr>
          <w:trHeight w:val="108"/>
        </w:trPr>
        <w:tc>
          <w:tcPr>
            <w:tcW w:w="3680" w:type="dxa"/>
            <w:vAlign w:val="bottom"/>
            <w:gridSpan w:val="3"/>
            <w:shd w:val="clear" w:color="auto" w:fill="CCEEFF"/>
          </w:tcPr>
          <w:p>
            <w:pPr>
              <w:ind w:left="60"/>
              <w:spacing w:after="0" w:line="108" w:lineRule="exact"/>
              <w:rPr>
                <w:sz w:val="20"/>
                <w:szCs w:val="20"/>
                <w:color w:val="auto"/>
              </w:rPr>
            </w:pPr>
            <w:r>
              <w:rPr>
                <w:rFonts w:ascii="Arial" w:cs="Arial" w:eastAsia="Arial" w:hAnsi="Arial"/>
                <w:sz w:val="10"/>
                <w:szCs w:val="10"/>
                <w:color w:val="auto"/>
              </w:rPr>
              <w:t>Advertising and other</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5,305</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5,633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6,004</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6,504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6,476</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6,127</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6,659</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7,577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6,863</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8,460</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0"/>
                <w:szCs w:val="10"/>
                <w:color w:val="auto"/>
              </w:rPr>
              <w:t>Total revenue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16,906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10"/>
                <w:szCs w:val="10"/>
                <w:color w:val="auto"/>
              </w:rPr>
              <w:t>21,841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27,084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32,757</w:t>
            </w:r>
          </w:p>
        </w:tc>
        <w:tc>
          <w:tcPr>
            <w:tcW w:w="100" w:type="dxa"/>
            <w:vAlign w:val="bottom"/>
          </w:tcPr>
          <w:p>
            <w:pPr>
              <w:spacing w:after="0"/>
              <w:rPr>
                <w:sz w:val="8"/>
                <w:szCs w:val="8"/>
                <w:color w:val="auto"/>
              </w:rPr>
            </w:pPr>
          </w:p>
        </w:tc>
        <w:tc>
          <w:tcPr>
            <w:tcW w:w="6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38,614</w:t>
            </w:r>
          </w:p>
        </w:tc>
        <w:tc>
          <w:tcPr>
            <w:tcW w:w="100" w:type="dxa"/>
            <w:vAlign w:val="bottom"/>
          </w:tcPr>
          <w:p>
            <w:pPr>
              <w:spacing w:after="0"/>
              <w:rPr>
                <w:sz w:val="8"/>
                <w:szCs w:val="8"/>
                <w:color w:val="auto"/>
              </w:rPr>
            </w:pPr>
          </w:p>
        </w:tc>
        <w:tc>
          <w:tcPr>
            <w:tcW w:w="5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45,627</w:t>
            </w:r>
          </w:p>
        </w:tc>
        <w:tc>
          <w:tcPr>
            <w:tcW w:w="120" w:type="dxa"/>
            <w:vAlign w:val="bottom"/>
          </w:tcPr>
          <w:p>
            <w:pPr>
              <w:spacing w:after="0"/>
              <w:rPr>
                <w:sz w:val="8"/>
                <w:szCs w:val="8"/>
                <w:color w:val="auto"/>
              </w:rPr>
            </w:pPr>
          </w:p>
        </w:tc>
        <w:tc>
          <w:tcPr>
            <w:tcW w:w="86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53,136</w:t>
            </w:r>
          </w:p>
        </w:tc>
        <w:tc>
          <w:tcPr>
            <w:tcW w:w="100" w:type="dxa"/>
            <w:vAlign w:val="bottom"/>
          </w:tcPr>
          <w:p>
            <w:pPr>
              <w:spacing w:after="0"/>
              <w:rPr>
                <w:sz w:val="8"/>
                <w:szCs w:val="8"/>
                <w:color w:val="auto"/>
              </w:rPr>
            </w:pPr>
          </w:p>
        </w:tc>
        <w:tc>
          <w:tcPr>
            <w:tcW w:w="80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60,764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67,035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76,240</w:t>
            </w:r>
          </w:p>
        </w:tc>
        <w:tc>
          <w:tcPr>
            <w:tcW w:w="0" w:type="dxa"/>
            <w:vAlign w:val="bottom"/>
          </w:tcPr>
          <w:p>
            <w:pPr>
              <w:spacing w:after="0"/>
              <w:rPr>
                <w:sz w:val="1"/>
                <w:szCs w:val="1"/>
                <w:color w:val="auto"/>
              </w:rPr>
            </w:pPr>
          </w:p>
        </w:tc>
      </w:tr>
      <w:tr>
        <w:trPr>
          <w:trHeight w:val="126"/>
        </w:trPr>
        <w:tc>
          <w:tcPr>
            <w:tcW w:w="368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Cost of revenue</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669</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1,190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1,480</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1,678</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2,141</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2,852</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2,904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3,325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4,322</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0"/>
                <w:szCs w:val="10"/>
                <w:color w:val="auto"/>
              </w:rPr>
              <w:t>Gross profit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16,237</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10"/>
                <w:szCs w:val="10"/>
                <w:color w:val="auto"/>
              </w:rPr>
              <w:t>20,946</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25,894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31,277</w:t>
            </w:r>
          </w:p>
        </w:tc>
        <w:tc>
          <w:tcPr>
            <w:tcW w:w="100" w:type="dxa"/>
            <w:vAlign w:val="bottom"/>
          </w:tcPr>
          <w:p>
            <w:pPr>
              <w:spacing w:after="0"/>
              <w:rPr>
                <w:sz w:val="8"/>
                <w:szCs w:val="8"/>
                <w:color w:val="auto"/>
              </w:rPr>
            </w:pPr>
          </w:p>
        </w:tc>
        <w:tc>
          <w:tcPr>
            <w:tcW w:w="6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36,936</w:t>
            </w:r>
          </w:p>
        </w:tc>
        <w:tc>
          <w:tcPr>
            <w:tcW w:w="100" w:type="dxa"/>
            <w:vAlign w:val="bottom"/>
          </w:tcPr>
          <w:p>
            <w:pPr>
              <w:spacing w:after="0"/>
              <w:rPr>
                <w:sz w:val="8"/>
                <w:szCs w:val="8"/>
                <w:color w:val="auto"/>
              </w:rPr>
            </w:pPr>
          </w:p>
        </w:tc>
        <w:tc>
          <w:tcPr>
            <w:tcW w:w="5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43,486</w:t>
            </w:r>
          </w:p>
        </w:tc>
        <w:tc>
          <w:tcPr>
            <w:tcW w:w="120" w:type="dxa"/>
            <w:vAlign w:val="bottom"/>
          </w:tcPr>
          <w:p>
            <w:pPr>
              <w:spacing w:after="0"/>
              <w:rPr>
                <w:sz w:val="8"/>
                <w:szCs w:val="8"/>
                <w:color w:val="auto"/>
              </w:rPr>
            </w:pPr>
          </w:p>
        </w:tc>
        <w:tc>
          <w:tcPr>
            <w:tcW w:w="86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50,284</w:t>
            </w:r>
          </w:p>
        </w:tc>
        <w:tc>
          <w:tcPr>
            <w:tcW w:w="100" w:type="dxa"/>
            <w:vAlign w:val="bottom"/>
          </w:tcPr>
          <w:p>
            <w:pPr>
              <w:spacing w:after="0"/>
              <w:rPr>
                <w:sz w:val="8"/>
                <w:szCs w:val="8"/>
                <w:color w:val="auto"/>
              </w:rPr>
            </w:pPr>
          </w:p>
        </w:tc>
        <w:tc>
          <w:tcPr>
            <w:tcW w:w="80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57,860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63,710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71,918</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3"/>
          </w:tcPr>
          <w:p>
            <w:pPr>
              <w:ind w:left="60"/>
              <w:spacing w:after="0" w:line="108" w:lineRule="exact"/>
              <w:rPr>
                <w:sz w:val="20"/>
                <w:szCs w:val="20"/>
                <w:color w:val="auto"/>
              </w:rPr>
            </w:pPr>
            <w:r>
              <w:rPr>
                <w:rFonts w:ascii="Arial" w:cs="Arial" w:eastAsia="Arial" w:hAnsi="Arial"/>
                <w:sz w:val="10"/>
                <w:szCs w:val="10"/>
                <w:color w:val="auto"/>
              </w:rPr>
              <w:t>Sales and marketing</w:t>
            </w:r>
          </w:p>
        </w:tc>
        <w:tc>
          <w:tcPr>
            <w:tcW w:w="10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13,108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18,156</w:t>
            </w:r>
          </w:p>
        </w:tc>
        <w:tc>
          <w:tcPr>
            <w:tcW w:w="100" w:type="dxa"/>
            <w:vAlign w:val="bottom"/>
          </w:tcPr>
          <w:p>
            <w:pPr>
              <w:spacing w:after="0"/>
              <w:rPr>
                <w:sz w:val="9"/>
                <w:szCs w:val="9"/>
                <w:color w:val="auto"/>
              </w:rPr>
            </w:pPr>
          </w:p>
        </w:tc>
        <w:tc>
          <w:tcPr>
            <w:tcW w:w="8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22,884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27,729</w:t>
            </w:r>
          </w:p>
        </w:tc>
        <w:tc>
          <w:tcPr>
            <w:tcW w:w="100" w:type="dxa"/>
            <w:vAlign w:val="bottom"/>
          </w:tcPr>
          <w:p>
            <w:pPr>
              <w:spacing w:after="0"/>
              <w:rPr>
                <w:sz w:val="9"/>
                <w:szCs w:val="9"/>
                <w:color w:val="auto"/>
              </w:rPr>
            </w:pPr>
          </w:p>
        </w:tc>
        <w:tc>
          <w:tcPr>
            <w:tcW w:w="6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31,339</w:t>
            </w: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36,974</w:t>
            </w:r>
          </w:p>
        </w:tc>
        <w:tc>
          <w:tcPr>
            <w:tcW w:w="120" w:type="dxa"/>
            <w:vAlign w:val="bottom"/>
          </w:tcPr>
          <w:p>
            <w:pPr>
              <w:spacing w:after="0"/>
              <w:rPr>
                <w:sz w:val="9"/>
                <w:szCs w:val="9"/>
                <w:color w:val="auto"/>
              </w:rPr>
            </w:pPr>
          </w:p>
        </w:tc>
        <w:tc>
          <w:tcPr>
            <w:tcW w:w="8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40,510</w:t>
            </w:r>
          </w:p>
        </w:tc>
        <w:tc>
          <w:tcPr>
            <w:tcW w:w="10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45,302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49,071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55,533</w:t>
            </w:r>
          </w:p>
        </w:tc>
        <w:tc>
          <w:tcPr>
            <w:tcW w:w="0" w:type="dxa"/>
            <w:vAlign w:val="bottom"/>
          </w:tcPr>
          <w:p>
            <w:pPr>
              <w:spacing w:after="0"/>
              <w:rPr>
                <w:sz w:val="1"/>
                <w:szCs w:val="1"/>
                <w:color w:val="auto"/>
              </w:rPr>
            </w:pPr>
          </w:p>
        </w:tc>
      </w:tr>
      <w:tr>
        <w:trPr>
          <w:trHeight w:val="108"/>
        </w:trPr>
        <w:tc>
          <w:tcPr>
            <w:tcW w:w="3680" w:type="dxa"/>
            <w:vAlign w:val="bottom"/>
            <w:gridSpan w:val="3"/>
            <w:shd w:val="clear" w:color="auto" w:fill="CCEEFF"/>
          </w:tcPr>
          <w:p>
            <w:pPr>
              <w:ind w:left="60"/>
              <w:spacing w:after="0" w:line="108" w:lineRule="exact"/>
              <w:rPr>
                <w:sz w:val="20"/>
                <w:szCs w:val="20"/>
                <w:color w:val="auto"/>
              </w:rPr>
            </w:pPr>
            <w:r>
              <w:rPr>
                <w:rFonts w:ascii="Arial" w:cs="Arial" w:eastAsia="Arial" w:hAnsi="Arial"/>
                <w:sz w:val="10"/>
                <w:szCs w:val="10"/>
                <w:color w:val="auto"/>
              </w:rPr>
              <w:t>Product, technology, and development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1,279</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3,213</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1,868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1,875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2,336</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2,814</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2,984</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3,319</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3,648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4,709</w:t>
            </w:r>
          </w:p>
        </w:tc>
        <w:tc>
          <w:tcPr>
            <w:tcW w:w="0" w:type="dxa"/>
            <w:vAlign w:val="bottom"/>
          </w:tcPr>
          <w:p>
            <w:pPr>
              <w:spacing w:after="0"/>
              <w:rPr>
                <w:sz w:val="1"/>
                <w:szCs w:val="1"/>
                <w:color w:val="auto"/>
              </w:rPr>
            </w:pPr>
          </w:p>
        </w:tc>
      </w:tr>
      <w:tr>
        <w:trPr>
          <w:trHeight w:val="108"/>
        </w:trPr>
        <w:tc>
          <w:tcPr>
            <w:tcW w:w="3680" w:type="dxa"/>
            <w:vAlign w:val="bottom"/>
            <w:gridSpan w:val="3"/>
          </w:tcPr>
          <w:p>
            <w:pPr>
              <w:ind w:left="60"/>
              <w:spacing w:after="0" w:line="108" w:lineRule="exact"/>
              <w:rPr>
                <w:sz w:val="20"/>
                <w:szCs w:val="20"/>
                <w:color w:val="auto"/>
              </w:rPr>
            </w:pPr>
            <w:r>
              <w:rPr>
                <w:rFonts w:ascii="Arial" w:cs="Arial" w:eastAsia="Arial" w:hAnsi="Arial"/>
                <w:sz w:val="10"/>
                <w:szCs w:val="10"/>
                <w:color w:val="auto"/>
              </w:rPr>
              <w:t>General and administrative</w:t>
            </w: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1,007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1,371</w:t>
            </w:r>
          </w:p>
        </w:tc>
        <w:tc>
          <w:tcPr>
            <w:tcW w:w="100" w:type="dxa"/>
            <w:vAlign w:val="bottom"/>
          </w:tcPr>
          <w:p>
            <w:pPr>
              <w:spacing w:after="0"/>
              <w:rPr>
                <w:sz w:val="9"/>
                <w:szCs w:val="9"/>
                <w:color w:val="auto"/>
              </w:rPr>
            </w:pPr>
          </w:p>
        </w:tc>
        <w:tc>
          <w:tcPr>
            <w:tcW w:w="8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1,567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1,856</w:t>
            </w:r>
          </w:p>
        </w:tc>
        <w:tc>
          <w:tcPr>
            <w:tcW w:w="100" w:type="dxa"/>
            <w:vAlign w:val="bottom"/>
          </w:tcPr>
          <w:p>
            <w:pPr>
              <w:spacing w:after="0"/>
              <w:rPr>
                <w:sz w:val="9"/>
                <w:szCs w:val="9"/>
                <w:color w:val="auto"/>
              </w:rPr>
            </w:pPr>
          </w:p>
        </w:tc>
        <w:tc>
          <w:tcPr>
            <w:tcW w:w="6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2,586</w:t>
            </w: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3,032</w:t>
            </w:r>
          </w:p>
        </w:tc>
        <w:tc>
          <w:tcPr>
            <w:tcW w:w="120" w:type="dxa"/>
            <w:vAlign w:val="bottom"/>
          </w:tcPr>
          <w:p>
            <w:pPr>
              <w:spacing w:after="0"/>
              <w:rPr>
                <w:sz w:val="9"/>
                <w:szCs w:val="9"/>
                <w:color w:val="auto"/>
              </w:rPr>
            </w:pPr>
          </w:p>
        </w:tc>
        <w:tc>
          <w:tcPr>
            <w:tcW w:w="8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3,101</w:t>
            </w:r>
          </w:p>
        </w:tc>
        <w:tc>
          <w:tcPr>
            <w:tcW w:w="10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4,064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4,059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5,033</w:t>
            </w:r>
          </w:p>
        </w:tc>
        <w:tc>
          <w:tcPr>
            <w:tcW w:w="0" w:type="dxa"/>
            <w:vAlign w:val="bottom"/>
          </w:tcPr>
          <w:p>
            <w:pPr>
              <w:spacing w:after="0"/>
              <w:rPr>
                <w:sz w:val="1"/>
                <w:szCs w:val="1"/>
                <w:color w:val="auto"/>
              </w:rPr>
            </w:pPr>
          </w:p>
        </w:tc>
      </w:tr>
      <w:tr>
        <w:trPr>
          <w:trHeight w:val="108"/>
        </w:trPr>
        <w:tc>
          <w:tcPr>
            <w:tcW w:w="3680" w:type="dxa"/>
            <w:vAlign w:val="bottom"/>
            <w:gridSpan w:val="3"/>
            <w:shd w:val="clear" w:color="auto" w:fill="CCEEFF"/>
          </w:tcPr>
          <w:p>
            <w:pPr>
              <w:ind w:left="6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100</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304</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311</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322</w:t>
            </w:r>
          </w:p>
        </w:tc>
        <w:tc>
          <w:tcPr>
            <w:tcW w:w="12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432</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569</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548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648</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0"/>
                <w:szCs w:val="10"/>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15,494</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10"/>
                <w:szCs w:val="10"/>
                <w:color w:val="auto"/>
              </w:rPr>
              <w:t>22,990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26,623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31,775</w:t>
            </w:r>
          </w:p>
        </w:tc>
        <w:tc>
          <w:tcPr>
            <w:tcW w:w="100" w:type="dxa"/>
            <w:vAlign w:val="bottom"/>
          </w:tcPr>
          <w:p>
            <w:pPr>
              <w:spacing w:after="0"/>
              <w:rPr>
                <w:sz w:val="8"/>
                <w:szCs w:val="8"/>
                <w:color w:val="auto"/>
              </w:rPr>
            </w:pPr>
          </w:p>
        </w:tc>
        <w:tc>
          <w:tcPr>
            <w:tcW w:w="6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36,572</w:t>
            </w:r>
          </w:p>
        </w:tc>
        <w:tc>
          <w:tcPr>
            <w:tcW w:w="100" w:type="dxa"/>
            <w:vAlign w:val="bottom"/>
          </w:tcPr>
          <w:p>
            <w:pPr>
              <w:spacing w:after="0"/>
              <w:rPr>
                <w:sz w:val="8"/>
                <w:szCs w:val="8"/>
                <w:color w:val="auto"/>
              </w:rPr>
            </w:pPr>
          </w:p>
        </w:tc>
        <w:tc>
          <w:tcPr>
            <w:tcW w:w="5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43,142</w:t>
            </w:r>
          </w:p>
        </w:tc>
        <w:tc>
          <w:tcPr>
            <w:tcW w:w="120" w:type="dxa"/>
            <w:vAlign w:val="bottom"/>
          </w:tcPr>
          <w:p>
            <w:pPr>
              <w:spacing w:after="0"/>
              <w:rPr>
                <w:sz w:val="8"/>
                <w:szCs w:val="8"/>
                <w:color w:val="auto"/>
              </w:rPr>
            </w:pPr>
          </w:p>
        </w:tc>
        <w:tc>
          <w:tcPr>
            <w:tcW w:w="86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47,027</w:t>
            </w:r>
          </w:p>
        </w:tc>
        <w:tc>
          <w:tcPr>
            <w:tcW w:w="100" w:type="dxa"/>
            <w:vAlign w:val="bottom"/>
          </w:tcPr>
          <w:p>
            <w:pPr>
              <w:spacing w:after="0"/>
              <w:rPr>
                <w:sz w:val="8"/>
                <w:szCs w:val="8"/>
                <w:color w:val="auto"/>
              </w:rPr>
            </w:pPr>
          </w:p>
        </w:tc>
        <w:tc>
          <w:tcPr>
            <w:tcW w:w="80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53,254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57,326</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65,923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gridSpan w:val="3"/>
            <w:shd w:val="clear" w:color="auto" w:fill="CCEEFF"/>
          </w:tcPr>
          <w:p>
            <w:pPr>
              <w:spacing w:after="0" w:line="97" w:lineRule="exact"/>
              <w:rPr>
                <w:sz w:val="20"/>
                <w:szCs w:val="20"/>
                <w:color w:val="auto"/>
              </w:rPr>
            </w:pPr>
            <w:r>
              <w:rPr>
                <w:rFonts w:ascii="Arial" w:cs="Arial" w:eastAsia="Arial" w:hAnsi="Arial"/>
                <w:sz w:val="10"/>
                <w:szCs w:val="10"/>
                <w:color w:val="auto"/>
              </w:rPr>
              <w:t>Income (loss) from operations</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743</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(2,044)</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(729)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(498)</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364</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344</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3,257</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4,606</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6,384</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color w:val="auto"/>
              </w:rPr>
              <w:t>5,995</w:t>
            </w:r>
          </w:p>
        </w:tc>
        <w:tc>
          <w:tcPr>
            <w:tcW w:w="0" w:type="dxa"/>
            <w:vAlign w:val="bottom"/>
          </w:tcPr>
          <w:p>
            <w:pPr>
              <w:spacing w:after="0"/>
              <w:rPr>
                <w:sz w:val="1"/>
                <w:szCs w:val="1"/>
                <w:color w:val="auto"/>
              </w:rPr>
            </w:pPr>
          </w:p>
        </w:tc>
      </w:tr>
      <w:tr>
        <w:trPr>
          <w:trHeight w:val="108"/>
        </w:trPr>
        <w:tc>
          <w:tcPr>
            <w:tcW w:w="3680" w:type="dxa"/>
            <w:vAlign w:val="bottom"/>
            <w:gridSpan w:val="3"/>
          </w:tcPr>
          <w:p>
            <w:pPr>
              <w:spacing w:after="0" w:line="108" w:lineRule="exact"/>
              <w:rPr>
                <w:sz w:val="20"/>
                <w:szCs w:val="20"/>
                <w:color w:val="auto"/>
              </w:rPr>
            </w:pPr>
            <w:r>
              <w:rPr>
                <w:rFonts w:ascii="Arial" w:cs="Arial" w:eastAsia="Arial" w:hAnsi="Arial"/>
                <w:sz w:val="10"/>
                <w:szCs w:val="10"/>
                <w:color w:val="auto"/>
              </w:rPr>
              <w:t>Other income (expense)</w:t>
            </w: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w:t>
            </w:r>
          </w:p>
        </w:tc>
        <w:tc>
          <w:tcPr>
            <w:tcW w:w="100" w:type="dxa"/>
            <w:vAlign w:val="bottom"/>
          </w:tcPr>
          <w:p>
            <w:pPr>
              <w:spacing w:after="0"/>
              <w:rPr>
                <w:sz w:val="9"/>
                <w:szCs w:val="9"/>
                <w:color w:val="auto"/>
              </w:rPr>
            </w:pPr>
          </w:p>
        </w:tc>
        <w:tc>
          <w:tcPr>
            <w:tcW w:w="8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w:t>
            </w:r>
          </w:p>
        </w:tc>
        <w:tc>
          <w:tcPr>
            <w:tcW w:w="100" w:type="dxa"/>
            <w:vAlign w:val="bottom"/>
          </w:tcPr>
          <w:p>
            <w:pPr>
              <w:spacing w:after="0"/>
              <w:rPr>
                <w:sz w:val="9"/>
                <w:szCs w:val="9"/>
                <w:color w:val="auto"/>
              </w:rPr>
            </w:pPr>
          </w:p>
        </w:tc>
        <w:tc>
          <w:tcPr>
            <w:tcW w:w="6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71</w:t>
            </w: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82</w:t>
            </w:r>
          </w:p>
        </w:tc>
        <w:tc>
          <w:tcPr>
            <w:tcW w:w="120" w:type="dxa"/>
            <w:vAlign w:val="bottom"/>
          </w:tcPr>
          <w:p>
            <w:pPr>
              <w:spacing w:after="0"/>
              <w:rPr>
                <w:sz w:val="9"/>
                <w:szCs w:val="9"/>
                <w:color w:val="auto"/>
              </w:rPr>
            </w:pPr>
          </w:p>
        </w:tc>
        <w:tc>
          <w:tcPr>
            <w:tcW w:w="8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107</w:t>
            </w:r>
          </w:p>
        </w:tc>
        <w:tc>
          <w:tcPr>
            <w:tcW w:w="10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164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680" w:type="dxa"/>
            <w:vAlign w:val="bottom"/>
            <w:gridSpan w:val="3"/>
            <w:shd w:val="clear" w:color="auto" w:fill="CCEEFF"/>
          </w:tcPr>
          <w:p>
            <w:pPr>
              <w:spacing w:after="0" w:line="97" w:lineRule="exact"/>
              <w:rPr>
                <w:sz w:val="20"/>
                <w:szCs w:val="20"/>
                <w:color w:val="auto"/>
              </w:rPr>
            </w:pPr>
            <w:r>
              <w:rPr>
                <w:rFonts w:ascii="Arial" w:cs="Arial" w:eastAsia="Arial" w:hAnsi="Arial"/>
                <w:sz w:val="10"/>
                <w:szCs w:val="10"/>
                <w:color w:val="auto"/>
              </w:rPr>
              <w:t>Income (loss) before income taxes</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743</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(2,046)</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(737)</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(500)</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435</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426</w:t>
            </w: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3,364</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4,720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6,548</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color w:val="auto"/>
              </w:rPr>
              <w:t>6,048</w:t>
            </w:r>
          </w:p>
        </w:tc>
        <w:tc>
          <w:tcPr>
            <w:tcW w:w="0" w:type="dxa"/>
            <w:vAlign w:val="bottom"/>
          </w:tcPr>
          <w:p>
            <w:pPr>
              <w:spacing w:after="0"/>
              <w:rPr>
                <w:sz w:val="1"/>
                <w:szCs w:val="1"/>
                <w:color w:val="auto"/>
              </w:rPr>
            </w:pPr>
          </w:p>
        </w:tc>
      </w:tr>
      <w:tr>
        <w:trPr>
          <w:trHeight w:val="108"/>
        </w:trPr>
        <w:tc>
          <w:tcPr>
            <w:tcW w:w="3680" w:type="dxa"/>
            <w:vAlign w:val="bottom"/>
            <w:gridSpan w:val="3"/>
          </w:tcPr>
          <w:p>
            <w:pPr>
              <w:spacing w:after="0" w:line="108" w:lineRule="exact"/>
              <w:rPr>
                <w:sz w:val="20"/>
                <w:szCs w:val="20"/>
                <w:color w:val="auto"/>
              </w:rPr>
            </w:pPr>
            <w:r>
              <w:rPr>
                <w:rFonts w:ascii="Arial" w:cs="Arial" w:eastAsia="Arial" w:hAnsi="Arial"/>
                <w:sz w:val="10"/>
                <w:szCs w:val="10"/>
                <w:color w:val="auto"/>
              </w:rPr>
              <w:t>Provision (benefit) for income taxes</w:t>
            </w: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265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(729)</w:t>
            </w:r>
          </w:p>
        </w:tc>
        <w:tc>
          <w:tcPr>
            <w:tcW w:w="100" w:type="dxa"/>
            <w:vAlign w:val="bottom"/>
          </w:tcPr>
          <w:p>
            <w:pPr>
              <w:spacing w:after="0"/>
              <w:rPr>
                <w:sz w:val="9"/>
                <w:szCs w:val="9"/>
                <w:color w:val="auto"/>
              </w:rPr>
            </w:pPr>
          </w:p>
        </w:tc>
        <w:tc>
          <w:tcPr>
            <w:tcW w:w="8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(262)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(178)</w:t>
            </w:r>
          </w:p>
        </w:tc>
        <w:tc>
          <w:tcPr>
            <w:tcW w:w="100" w:type="dxa"/>
            <w:vAlign w:val="bottom"/>
          </w:tcPr>
          <w:p>
            <w:pPr>
              <w:spacing w:after="0"/>
              <w:rPr>
                <w:sz w:val="9"/>
                <w:szCs w:val="9"/>
                <w:color w:val="auto"/>
              </w:rPr>
            </w:pPr>
          </w:p>
        </w:tc>
        <w:tc>
          <w:tcPr>
            <w:tcW w:w="6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183</w:t>
            </w:r>
          </w:p>
        </w:tc>
        <w:tc>
          <w:tcPr>
            <w:tcW w:w="10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157</w:t>
            </w:r>
          </w:p>
        </w:tc>
        <w:tc>
          <w:tcPr>
            <w:tcW w:w="120" w:type="dxa"/>
            <w:vAlign w:val="bottom"/>
          </w:tcPr>
          <w:p>
            <w:pPr>
              <w:spacing w:after="0"/>
              <w:rPr>
                <w:sz w:val="9"/>
                <w:szCs w:val="9"/>
                <w:color w:val="auto"/>
              </w:rPr>
            </w:pPr>
          </w:p>
        </w:tc>
        <w:tc>
          <w:tcPr>
            <w:tcW w:w="8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1,226</w:t>
            </w:r>
          </w:p>
        </w:tc>
        <w:tc>
          <w:tcPr>
            <w:tcW w:w="10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882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2,341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1,702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80" w:type="dxa"/>
            <w:vAlign w:val="bottom"/>
            <w:gridSpan w:val="3"/>
            <w:shd w:val="clear" w:color="auto" w:fill="CCEEFF"/>
          </w:tcPr>
          <w:p>
            <w:pPr>
              <w:spacing w:after="0" w:line="97" w:lineRule="exact"/>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478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(1,317)</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(475)</w:t>
            </w:r>
          </w:p>
        </w:tc>
        <w:tc>
          <w:tcPr>
            <w:tcW w:w="1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(322)</w:t>
            </w:r>
          </w:p>
        </w:tc>
        <w:tc>
          <w:tcPr>
            <w:tcW w:w="1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252</w:t>
            </w:r>
          </w:p>
        </w:tc>
        <w:tc>
          <w:tcPr>
            <w:tcW w:w="1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269</w:t>
            </w:r>
          </w:p>
        </w:tc>
        <w:tc>
          <w:tcPr>
            <w:tcW w:w="120" w:type="dxa"/>
            <w:vAlign w:val="bottom"/>
            <w:shd w:val="clear" w:color="auto" w:fill="CCEEFF"/>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2,138</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3,838</w:t>
            </w:r>
          </w:p>
        </w:tc>
        <w:tc>
          <w:tcPr>
            <w:tcW w:w="1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4,207</w:t>
            </w:r>
          </w:p>
        </w:tc>
        <w:tc>
          <w:tcPr>
            <w:tcW w:w="1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color w:val="auto"/>
              </w:rPr>
              <w:t>4,346</w:t>
            </w:r>
          </w:p>
        </w:tc>
        <w:tc>
          <w:tcPr>
            <w:tcW w:w="0" w:type="dxa"/>
            <w:vAlign w:val="bottom"/>
          </w:tcPr>
          <w:p>
            <w:pPr>
              <w:spacing w:after="0"/>
              <w:rPr>
                <w:sz w:val="1"/>
                <w:szCs w:val="1"/>
                <w:color w:val="auto"/>
              </w:rPr>
            </w:pPr>
          </w:p>
        </w:tc>
      </w:tr>
      <w:tr>
        <w:trPr>
          <w:trHeight w:val="279"/>
        </w:trPr>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20"/>
                <w:szCs w:val="20"/>
                <w:color w:val="auto"/>
              </w:rPr>
            </w:pPr>
            <w:r>
              <w:rPr>
                <w:rFonts w:ascii="Arial" w:cs="Arial" w:eastAsia="Arial" w:hAnsi="Arial"/>
                <w:sz w:val="7"/>
                <w:szCs w:val="7"/>
                <w:color w:val="auto"/>
              </w:rPr>
              <w:t>(1)</w:t>
            </w:r>
          </w:p>
        </w:tc>
        <w:tc>
          <w:tcPr>
            <w:tcW w:w="3500" w:type="dxa"/>
            <w:vAlign w:val="bottom"/>
            <w:gridSpan w:val="2"/>
            <w:vMerge w:val="restart"/>
          </w:tcPr>
          <w:p>
            <w:pPr>
              <w:ind w:left="80"/>
              <w:spacing w:after="0"/>
              <w:rPr>
                <w:sz w:val="20"/>
                <w:szCs w:val="20"/>
                <w:color w:val="auto"/>
              </w:rPr>
            </w:pPr>
            <w:r>
              <w:rPr>
                <w:rFonts w:ascii="Arial" w:cs="Arial" w:eastAsia="Arial" w:hAnsi="Arial"/>
                <w:sz w:val="10"/>
                <w:szCs w:val="10"/>
                <w:color w:val="auto"/>
              </w:rPr>
              <w:t>Depreciation and amortization included in cost of revenue</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23</w:t>
            </w:r>
          </w:p>
        </w:tc>
        <w:tc>
          <w:tcPr>
            <w:tcW w:w="100" w:type="dxa"/>
            <w:vAlign w:val="bottom"/>
            <w:vMerge w:val="restart"/>
          </w:tcPr>
          <w:p>
            <w:pPr>
              <w:jc w:val="right"/>
              <w:ind w:right="36"/>
              <w:spacing w:after="0"/>
              <w:rPr>
                <w:sz w:val="20"/>
                <w:szCs w:val="20"/>
                <w:color w:val="auto"/>
              </w:rPr>
            </w:pPr>
            <w:r>
              <w:rPr>
                <w:rFonts w:ascii="Arial" w:cs="Arial" w:eastAsia="Arial" w:hAnsi="Arial"/>
                <w:sz w:val="5"/>
                <w:szCs w:val="5"/>
                <w:color w:val="auto"/>
                <w:w w:val="70"/>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23</w:t>
            </w: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86</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101</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102</w:t>
            </w: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113</w:t>
            </w:r>
          </w:p>
        </w:tc>
        <w:tc>
          <w:tcPr>
            <w:tcW w:w="100" w:type="dxa"/>
            <w:vAlign w:val="bottom"/>
            <w:vMerge w:val="restart"/>
          </w:tcPr>
          <w:p>
            <w:pPr>
              <w:jc w:val="right"/>
              <w:ind w:right="36"/>
              <w:spacing w:after="0"/>
              <w:rPr>
                <w:sz w:val="20"/>
                <w:szCs w:val="20"/>
                <w:color w:val="auto"/>
              </w:rPr>
            </w:pPr>
            <w:r>
              <w:rPr>
                <w:rFonts w:ascii="Arial" w:cs="Arial" w:eastAsia="Arial" w:hAnsi="Arial"/>
                <w:sz w:val="5"/>
                <w:szCs w:val="5"/>
                <w:color w:val="auto"/>
                <w:w w:val="70"/>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122</w:t>
            </w: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122</w:t>
            </w: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269</w:t>
            </w: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35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our quarterly consolidated statements of operations data as a percentage of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color w:val="auto"/>
              </w:rPr>
              <w:t>Three Months Ended</w:t>
            </w: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74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4"/>
              </w:rPr>
              <w:t>March 31,</w:t>
            </w:r>
          </w:p>
        </w:tc>
        <w:tc>
          <w:tcPr>
            <w:tcW w:w="700" w:type="dxa"/>
            <w:vAlign w:val="bottom"/>
            <w:gridSpan w:val="2"/>
          </w:tcPr>
          <w:p>
            <w:pPr>
              <w:jc w:val="center"/>
              <w:ind w:right="120"/>
              <w:spacing w:after="0" w:line="112" w:lineRule="exact"/>
              <w:rPr>
                <w:sz w:val="20"/>
                <w:szCs w:val="20"/>
                <w:color w:val="auto"/>
              </w:rPr>
            </w:pPr>
            <w:r>
              <w:rPr>
                <w:rFonts w:ascii="Arial" w:cs="Arial" w:eastAsia="Arial" w:hAnsi="Arial"/>
                <w:sz w:val="10"/>
                <w:szCs w:val="10"/>
                <w:color w:val="auto"/>
                <w:w w:val="98"/>
              </w:rPr>
              <w:t>June 30,</w:t>
            </w:r>
          </w:p>
        </w:tc>
        <w:tc>
          <w:tcPr>
            <w:tcW w:w="1060" w:type="dxa"/>
            <w:vAlign w:val="bottom"/>
            <w:gridSpan w:val="2"/>
          </w:tcPr>
          <w:p>
            <w:pPr>
              <w:jc w:val="center"/>
              <w:ind w:right="140"/>
              <w:spacing w:after="0" w:line="112" w:lineRule="exact"/>
              <w:rPr>
                <w:sz w:val="20"/>
                <w:szCs w:val="20"/>
                <w:color w:val="auto"/>
              </w:rPr>
            </w:pPr>
            <w:r>
              <w:rPr>
                <w:rFonts w:ascii="Arial" w:cs="Arial" w:eastAsia="Arial" w:hAnsi="Arial"/>
                <w:sz w:val="10"/>
                <w:szCs w:val="10"/>
                <w:color w:val="auto"/>
                <w:w w:val="97"/>
              </w:rPr>
              <w:t>September 30,</w:t>
            </w:r>
          </w:p>
        </w:tc>
        <w:tc>
          <w:tcPr>
            <w:tcW w:w="1020" w:type="dxa"/>
            <w:vAlign w:val="bottom"/>
            <w:gridSpan w:val="2"/>
          </w:tcPr>
          <w:p>
            <w:pPr>
              <w:jc w:val="center"/>
              <w:ind w:right="140"/>
              <w:spacing w:after="0" w:line="112" w:lineRule="exact"/>
              <w:rPr>
                <w:sz w:val="20"/>
                <w:szCs w:val="20"/>
                <w:color w:val="auto"/>
              </w:rPr>
            </w:pPr>
            <w:r>
              <w:rPr>
                <w:rFonts w:ascii="Arial" w:cs="Arial" w:eastAsia="Arial" w:hAnsi="Arial"/>
                <w:sz w:val="10"/>
                <w:szCs w:val="10"/>
                <w:color w:val="auto"/>
                <w:w w:val="95"/>
              </w:rPr>
              <w:t>December 31,</w:t>
            </w:r>
          </w:p>
        </w:tc>
        <w:tc>
          <w:tcPr>
            <w:tcW w:w="68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March 31,</w:t>
            </w:r>
          </w:p>
        </w:tc>
        <w:tc>
          <w:tcPr>
            <w:tcW w:w="66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8"/>
              </w:rPr>
              <w:t>June 30,</w:t>
            </w:r>
          </w:p>
        </w:tc>
        <w:tc>
          <w:tcPr>
            <w:tcW w:w="100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7"/>
              </w:rPr>
              <w:t>September 30,</w:t>
            </w:r>
          </w:p>
        </w:tc>
        <w:tc>
          <w:tcPr>
            <w:tcW w:w="98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8"/>
              </w:rPr>
              <w:t>December 31,</w:t>
            </w:r>
          </w:p>
        </w:tc>
        <w:tc>
          <w:tcPr>
            <w:tcW w:w="740" w:type="dxa"/>
            <w:vAlign w:val="bottom"/>
            <w:gridSpan w:val="2"/>
          </w:tcPr>
          <w:p>
            <w:pPr>
              <w:jc w:val="center"/>
              <w:ind w:right="80"/>
              <w:spacing w:after="0" w:line="112" w:lineRule="exact"/>
              <w:rPr>
                <w:sz w:val="20"/>
                <w:szCs w:val="20"/>
                <w:color w:val="auto"/>
              </w:rPr>
            </w:pPr>
            <w:r>
              <w:rPr>
                <w:rFonts w:ascii="Arial" w:cs="Arial" w:eastAsia="Arial" w:hAnsi="Arial"/>
                <w:sz w:val="10"/>
                <w:szCs w:val="10"/>
                <w:color w:val="auto"/>
                <w:w w:val="94"/>
              </w:rPr>
              <w:t>March 31,</w:t>
            </w:r>
          </w:p>
        </w:tc>
        <w:tc>
          <w:tcPr>
            <w:tcW w:w="680" w:type="dxa"/>
            <w:vAlign w:val="bottom"/>
            <w:gridSpan w:val="2"/>
          </w:tcPr>
          <w:p>
            <w:pPr>
              <w:jc w:val="center"/>
              <w:ind w:right="60"/>
              <w:spacing w:after="0" w:line="112" w:lineRule="exact"/>
              <w:rPr>
                <w:sz w:val="20"/>
                <w:szCs w:val="20"/>
                <w:color w:val="auto"/>
              </w:rPr>
            </w:pPr>
            <w:r>
              <w:rPr>
                <w:rFonts w:ascii="Arial" w:cs="Arial" w:eastAsia="Arial" w:hAnsi="Arial"/>
                <w:sz w:val="10"/>
                <w:szCs w:val="10"/>
                <w:color w:val="auto"/>
                <w:w w:val="98"/>
              </w:rPr>
              <w:t>June 30,</w:t>
            </w:r>
          </w:p>
        </w:tc>
        <w:tc>
          <w:tcPr>
            <w:tcW w:w="0" w:type="dxa"/>
            <w:vAlign w:val="bottom"/>
          </w:tcPr>
          <w:p>
            <w:pPr>
              <w:spacing w:after="0"/>
              <w:rPr>
                <w:sz w:val="1"/>
                <w:szCs w:val="1"/>
                <w:color w:val="auto"/>
              </w:rPr>
            </w:pPr>
          </w:p>
        </w:tc>
      </w:tr>
      <w:tr>
        <w:trPr>
          <w:trHeight w:val="105"/>
        </w:trPr>
        <w:tc>
          <w:tcPr>
            <w:tcW w:w="3220" w:type="dxa"/>
            <w:vAlign w:val="bottom"/>
          </w:tcPr>
          <w:p>
            <w:pPr>
              <w:spacing w:after="0"/>
              <w:rPr>
                <w:sz w:val="9"/>
                <w:szCs w:val="9"/>
                <w:color w:val="auto"/>
              </w:rPr>
            </w:pPr>
          </w:p>
        </w:tc>
        <w:tc>
          <w:tcPr>
            <w:tcW w:w="620" w:type="dxa"/>
            <w:vAlign w:val="bottom"/>
            <w:tcBorders>
              <w:bottom w:val="single" w:sz="8" w:color="auto"/>
            </w:tcBorders>
          </w:tcPr>
          <w:p>
            <w:pPr>
              <w:jc w:val="right"/>
              <w:ind w:right="132"/>
              <w:spacing w:after="0" w:line="105" w:lineRule="exact"/>
              <w:rPr>
                <w:sz w:val="20"/>
                <w:szCs w:val="20"/>
                <w:color w:val="auto"/>
              </w:rPr>
            </w:pPr>
            <w:r>
              <w:rPr>
                <w:rFonts w:ascii="Arial" w:cs="Arial" w:eastAsia="Arial" w:hAnsi="Arial"/>
                <w:sz w:val="10"/>
                <w:szCs w:val="10"/>
                <w:color w:val="auto"/>
              </w:rPr>
              <w:t>2015</w:t>
            </w:r>
          </w:p>
        </w:tc>
        <w:tc>
          <w:tcPr>
            <w:tcW w:w="120" w:type="dxa"/>
            <w:vAlign w:val="bottom"/>
          </w:tcPr>
          <w:p>
            <w:pPr>
              <w:spacing w:after="0"/>
              <w:rPr>
                <w:sz w:val="9"/>
                <w:szCs w:val="9"/>
                <w:color w:val="auto"/>
              </w:rPr>
            </w:pPr>
          </w:p>
        </w:tc>
        <w:tc>
          <w:tcPr>
            <w:tcW w:w="54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2015</w:t>
            </w:r>
          </w:p>
        </w:tc>
        <w:tc>
          <w:tcPr>
            <w:tcW w:w="160" w:type="dxa"/>
            <w:vAlign w:val="bottom"/>
          </w:tcPr>
          <w:p>
            <w:pPr>
              <w:spacing w:after="0"/>
              <w:rPr>
                <w:sz w:val="9"/>
                <w:szCs w:val="9"/>
                <w:color w:val="auto"/>
              </w:rPr>
            </w:pPr>
          </w:p>
        </w:tc>
        <w:tc>
          <w:tcPr>
            <w:tcW w:w="880" w:type="dxa"/>
            <w:vAlign w:val="bottom"/>
            <w:tcBorders>
              <w:bottom w:val="single" w:sz="8" w:color="auto"/>
            </w:tcBorders>
          </w:tcPr>
          <w:p>
            <w:pPr>
              <w:jc w:val="right"/>
              <w:ind w:right="272"/>
              <w:spacing w:after="0" w:line="105" w:lineRule="exact"/>
              <w:rPr>
                <w:sz w:val="20"/>
                <w:szCs w:val="20"/>
                <w:color w:val="auto"/>
              </w:rPr>
            </w:pPr>
            <w:r>
              <w:rPr>
                <w:rFonts w:ascii="Arial" w:cs="Arial" w:eastAsia="Arial" w:hAnsi="Arial"/>
                <w:sz w:val="10"/>
                <w:szCs w:val="10"/>
                <w:color w:val="auto"/>
              </w:rPr>
              <w:t>2015</w:t>
            </w:r>
          </w:p>
        </w:tc>
        <w:tc>
          <w:tcPr>
            <w:tcW w:w="180" w:type="dxa"/>
            <w:vAlign w:val="bottom"/>
          </w:tcPr>
          <w:p>
            <w:pPr>
              <w:spacing w:after="0"/>
              <w:rPr>
                <w:sz w:val="9"/>
                <w:szCs w:val="9"/>
                <w:color w:val="auto"/>
              </w:rPr>
            </w:pPr>
          </w:p>
        </w:tc>
        <w:tc>
          <w:tcPr>
            <w:tcW w:w="860" w:type="dxa"/>
            <w:vAlign w:val="bottom"/>
            <w:tcBorders>
              <w:bottom w:val="single" w:sz="8" w:color="auto"/>
            </w:tcBorders>
          </w:tcPr>
          <w:p>
            <w:pPr>
              <w:jc w:val="right"/>
              <w:ind w:right="252"/>
              <w:spacing w:after="0" w:line="105" w:lineRule="exact"/>
              <w:rPr>
                <w:sz w:val="20"/>
                <w:szCs w:val="20"/>
                <w:color w:val="auto"/>
              </w:rPr>
            </w:pPr>
            <w:r>
              <w:rPr>
                <w:rFonts w:ascii="Arial" w:cs="Arial" w:eastAsia="Arial" w:hAnsi="Arial"/>
                <w:sz w:val="10"/>
                <w:szCs w:val="10"/>
                <w:color w:val="auto"/>
              </w:rPr>
              <w:t>2015</w:t>
            </w:r>
          </w:p>
        </w:tc>
        <w:tc>
          <w:tcPr>
            <w:tcW w:w="160" w:type="dxa"/>
            <w:vAlign w:val="bottom"/>
          </w:tcPr>
          <w:p>
            <w:pPr>
              <w:spacing w:after="0"/>
              <w:rPr>
                <w:sz w:val="9"/>
                <w:szCs w:val="9"/>
                <w:color w:val="auto"/>
              </w:rPr>
            </w:pPr>
          </w:p>
        </w:tc>
        <w:tc>
          <w:tcPr>
            <w:tcW w:w="56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2016</w:t>
            </w:r>
          </w:p>
        </w:tc>
        <w:tc>
          <w:tcPr>
            <w:tcW w:w="120" w:type="dxa"/>
            <w:vAlign w:val="bottom"/>
          </w:tcPr>
          <w:p>
            <w:pPr>
              <w:spacing w:after="0"/>
              <w:rPr>
                <w:sz w:val="9"/>
                <w:szCs w:val="9"/>
                <w:color w:val="auto"/>
              </w:rPr>
            </w:pPr>
          </w:p>
        </w:tc>
        <w:tc>
          <w:tcPr>
            <w:tcW w:w="54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2016</w:t>
            </w:r>
          </w:p>
        </w:tc>
        <w:tc>
          <w:tcPr>
            <w:tcW w:w="120" w:type="dxa"/>
            <w:vAlign w:val="bottom"/>
          </w:tcPr>
          <w:p>
            <w:pPr>
              <w:spacing w:after="0"/>
              <w:rPr>
                <w:sz w:val="9"/>
                <w:szCs w:val="9"/>
                <w:color w:val="auto"/>
              </w:rPr>
            </w:pPr>
          </w:p>
        </w:tc>
        <w:tc>
          <w:tcPr>
            <w:tcW w:w="880" w:type="dxa"/>
            <w:vAlign w:val="bottom"/>
            <w:tcBorders>
              <w:bottom w:val="single" w:sz="8" w:color="auto"/>
            </w:tcBorders>
          </w:tcPr>
          <w:p>
            <w:pPr>
              <w:jc w:val="right"/>
              <w:ind w:right="272"/>
              <w:spacing w:after="0" w:line="105" w:lineRule="exact"/>
              <w:rPr>
                <w:sz w:val="20"/>
                <w:szCs w:val="20"/>
                <w:color w:val="auto"/>
              </w:rPr>
            </w:pPr>
            <w:r>
              <w:rPr>
                <w:rFonts w:ascii="Arial" w:cs="Arial" w:eastAsia="Arial" w:hAnsi="Arial"/>
                <w:sz w:val="10"/>
                <w:szCs w:val="10"/>
                <w:color w:val="auto"/>
              </w:rPr>
              <w:t>2016</w:t>
            </w:r>
          </w:p>
        </w:tc>
        <w:tc>
          <w:tcPr>
            <w:tcW w:w="120" w:type="dxa"/>
            <w:vAlign w:val="bottom"/>
          </w:tcPr>
          <w:p>
            <w:pPr>
              <w:spacing w:after="0"/>
              <w:rPr>
                <w:sz w:val="9"/>
                <w:szCs w:val="9"/>
                <w:color w:val="auto"/>
              </w:rPr>
            </w:pPr>
          </w:p>
        </w:tc>
        <w:tc>
          <w:tcPr>
            <w:tcW w:w="860" w:type="dxa"/>
            <w:vAlign w:val="bottom"/>
            <w:tcBorders>
              <w:bottom w:val="single" w:sz="8" w:color="auto"/>
            </w:tcBorders>
          </w:tcPr>
          <w:p>
            <w:pPr>
              <w:jc w:val="right"/>
              <w:ind w:right="252"/>
              <w:spacing w:after="0" w:line="105" w:lineRule="exact"/>
              <w:rPr>
                <w:sz w:val="20"/>
                <w:szCs w:val="20"/>
                <w:color w:val="auto"/>
              </w:rPr>
            </w:pPr>
            <w:r>
              <w:rPr>
                <w:rFonts w:ascii="Arial" w:cs="Arial" w:eastAsia="Arial" w:hAnsi="Arial"/>
                <w:sz w:val="10"/>
                <w:szCs w:val="10"/>
                <w:color w:val="auto"/>
              </w:rPr>
              <w:t>2016</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152"/>
              <w:spacing w:after="0" w:line="105" w:lineRule="exact"/>
              <w:rPr>
                <w:sz w:val="20"/>
                <w:szCs w:val="20"/>
                <w:color w:val="auto"/>
              </w:rPr>
            </w:pPr>
            <w:r>
              <w:rPr>
                <w:rFonts w:ascii="Arial" w:cs="Arial" w:eastAsia="Arial" w:hAnsi="Arial"/>
                <w:sz w:val="10"/>
                <w:szCs w:val="10"/>
                <w:color w:val="auto"/>
              </w:rPr>
              <w:t>2017</w:t>
            </w:r>
          </w:p>
        </w:tc>
        <w:tc>
          <w:tcPr>
            <w:tcW w:w="100" w:type="dxa"/>
            <w:vAlign w:val="bottom"/>
          </w:tcPr>
          <w:p>
            <w:pPr>
              <w:spacing w:after="0"/>
              <w:rPr>
                <w:sz w:val="9"/>
                <w:szCs w:val="9"/>
                <w:color w:val="auto"/>
              </w:rPr>
            </w:pPr>
          </w:p>
        </w:tc>
        <w:tc>
          <w:tcPr>
            <w:tcW w:w="560" w:type="dxa"/>
            <w:vAlign w:val="bottom"/>
            <w:tcBorders>
              <w:bottom w:val="single" w:sz="8" w:color="auto"/>
            </w:tcBorders>
          </w:tcPr>
          <w:p>
            <w:pPr>
              <w:jc w:val="right"/>
              <w:ind w:right="92"/>
              <w:spacing w:after="0" w:line="105" w:lineRule="exact"/>
              <w:rPr>
                <w:sz w:val="20"/>
                <w:szCs w:val="20"/>
                <w:color w:val="auto"/>
              </w:rPr>
            </w:pPr>
            <w:r>
              <w:rPr>
                <w:rFonts w:ascii="Arial" w:cs="Arial" w:eastAsia="Arial" w:hAnsi="Arial"/>
                <w:sz w:val="10"/>
                <w:szCs w:val="10"/>
                <w:color w:val="auto"/>
              </w:rPr>
              <w:t>2017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Revenue</w:t>
            </w: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tcPr>
          <w:p>
            <w:pPr>
              <w:ind w:left="60"/>
              <w:spacing w:after="0" w:line="108" w:lineRule="exact"/>
              <w:rPr>
                <w:sz w:val="20"/>
                <w:szCs w:val="20"/>
                <w:color w:val="auto"/>
              </w:rPr>
            </w:pPr>
            <w:r>
              <w:rPr>
                <w:rFonts w:ascii="Arial" w:cs="Arial" w:eastAsia="Arial" w:hAnsi="Arial"/>
                <w:sz w:val="10"/>
                <w:szCs w:val="10"/>
                <w:color w:val="auto"/>
              </w:rPr>
              <w:t>Marketplace subscription</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69%</w:t>
            </w: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74%</w:t>
            </w:r>
          </w:p>
        </w:tc>
        <w:tc>
          <w:tcPr>
            <w:tcW w:w="10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78%</w:t>
            </w:r>
          </w:p>
        </w:tc>
        <w:tc>
          <w:tcPr>
            <w:tcW w:w="10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80%</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83%</w:t>
            </w: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87%</w:t>
            </w:r>
          </w:p>
        </w:tc>
        <w:tc>
          <w:tcPr>
            <w:tcW w:w="10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87%</w:t>
            </w:r>
          </w:p>
        </w:tc>
        <w:tc>
          <w:tcPr>
            <w:tcW w:w="9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88%</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90%</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89%</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Advertising and other</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26%</w:t>
            </w:r>
          </w:p>
        </w:tc>
        <w:tc>
          <w:tcPr>
            <w:tcW w:w="10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22%</w:t>
            </w:r>
          </w:p>
        </w:tc>
        <w:tc>
          <w:tcPr>
            <w:tcW w:w="10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20%</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17%</w:t>
            </w:r>
          </w:p>
        </w:tc>
        <w:tc>
          <w:tcPr>
            <w:tcW w:w="6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13%</w:t>
            </w:r>
          </w:p>
        </w:tc>
        <w:tc>
          <w:tcPr>
            <w:tcW w:w="10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13%</w:t>
            </w:r>
          </w:p>
        </w:tc>
        <w:tc>
          <w:tcPr>
            <w:tcW w:w="9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12%</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10%</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0"/>
                <w:szCs w:val="10"/>
                <w:color w:val="auto"/>
              </w:rPr>
              <w:t>Total revenue</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vMerge w:val="continue"/>
          </w:tcPr>
          <w:p>
            <w:pPr>
              <w:spacing w:after="0"/>
              <w:rPr>
                <w:sz w:val="8"/>
                <w:szCs w:val="8"/>
                <w:color w:val="auto"/>
              </w:rPr>
            </w:pP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100%</w:t>
            </w:r>
          </w:p>
        </w:tc>
        <w:tc>
          <w:tcPr>
            <w:tcW w:w="70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100%</w:t>
            </w:r>
          </w:p>
        </w:tc>
        <w:tc>
          <w:tcPr>
            <w:tcW w:w="106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100%</w:t>
            </w:r>
          </w:p>
        </w:tc>
        <w:tc>
          <w:tcPr>
            <w:tcW w:w="102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100%</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100%</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100%</w:t>
            </w:r>
          </w:p>
        </w:tc>
        <w:tc>
          <w:tcPr>
            <w:tcW w:w="10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100%</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100%</w:t>
            </w: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100%</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Cost of revenue</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w:t>
            </w:r>
          </w:p>
        </w:tc>
        <w:tc>
          <w:tcPr>
            <w:tcW w:w="10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w:t>
            </w:r>
          </w:p>
        </w:tc>
        <w:tc>
          <w:tcPr>
            <w:tcW w:w="10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w:t>
            </w:r>
          </w:p>
        </w:tc>
        <w:tc>
          <w:tcPr>
            <w:tcW w:w="6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5%</w:t>
            </w:r>
          </w:p>
        </w:tc>
        <w:tc>
          <w:tcPr>
            <w:tcW w:w="10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5%</w:t>
            </w:r>
          </w:p>
        </w:tc>
        <w:tc>
          <w:tcPr>
            <w:tcW w:w="9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0"/>
                <w:szCs w:val="10"/>
                <w:color w:val="auto"/>
              </w:rPr>
              <w:t>Gross profit</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vMerge w:val="continue"/>
          </w:tcPr>
          <w:p>
            <w:pPr>
              <w:spacing w:after="0"/>
              <w:rPr>
                <w:sz w:val="8"/>
                <w:szCs w:val="8"/>
                <w:color w:val="auto"/>
              </w:rPr>
            </w:pP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96%</w:t>
            </w:r>
          </w:p>
        </w:tc>
        <w:tc>
          <w:tcPr>
            <w:tcW w:w="70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96%</w:t>
            </w:r>
          </w:p>
        </w:tc>
        <w:tc>
          <w:tcPr>
            <w:tcW w:w="106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96%</w:t>
            </w:r>
          </w:p>
        </w:tc>
        <w:tc>
          <w:tcPr>
            <w:tcW w:w="102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95%</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96%</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95%</w:t>
            </w:r>
          </w:p>
        </w:tc>
        <w:tc>
          <w:tcPr>
            <w:tcW w:w="10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95%</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95%</w:t>
            </w: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95%</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20" w:type="dxa"/>
            <w:vAlign w:val="bottom"/>
          </w:tcPr>
          <w:p>
            <w:pPr>
              <w:ind w:left="60"/>
              <w:spacing w:after="0" w:line="108" w:lineRule="exact"/>
              <w:rPr>
                <w:sz w:val="20"/>
                <w:szCs w:val="20"/>
                <w:color w:val="auto"/>
              </w:rPr>
            </w:pPr>
            <w:r>
              <w:rPr>
                <w:rFonts w:ascii="Arial" w:cs="Arial" w:eastAsia="Arial" w:hAnsi="Arial"/>
                <w:sz w:val="10"/>
                <w:szCs w:val="10"/>
                <w:color w:val="auto"/>
              </w:rPr>
              <w:t>Sales and marketing</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78%</w:t>
            </w: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83%</w:t>
            </w:r>
          </w:p>
        </w:tc>
        <w:tc>
          <w:tcPr>
            <w:tcW w:w="10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84%</w:t>
            </w:r>
          </w:p>
        </w:tc>
        <w:tc>
          <w:tcPr>
            <w:tcW w:w="10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85%</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81%</w:t>
            </w: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81%</w:t>
            </w:r>
          </w:p>
        </w:tc>
        <w:tc>
          <w:tcPr>
            <w:tcW w:w="10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76%</w:t>
            </w:r>
          </w:p>
        </w:tc>
        <w:tc>
          <w:tcPr>
            <w:tcW w:w="9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75%</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73%</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Product, technology, and development</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15%</w:t>
            </w:r>
          </w:p>
        </w:tc>
        <w:tc>
          <w:tcPr>
            <w:tcW w:w="10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w:t>
            </w:r>
          </w:p>
        </w:tc>
        <w:tc>
          <w:tcPr>
            <w:tcW w:w="10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6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w:t>
            </w:r>
          </w:p>
        </w:tc>
        <w:tc>
          <w:tcPr>
            <w:tcW w:w="10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w:t>
            </w:r>
          </w:p>
        </w:tc>
        <w:tc>
          <w:tcPr>
            <w:tcW w:w="9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3220" w:type="dxa"/>
            <w:vAlign w:val="bottom"/>
          </w:tcPr>
          <w:p>
            <w:pPr>
              <w:ind w:left="60"/>
              <w:spacing w:after="0" w:line="108" w:lineRule="exact"/>
              <w:rPr>
                <w:sz w:val="20"/>
                <w:szCs w:val="20"/>
                <w:color w:val="auto"/>
              </w:rPr>
            </w:pPr>
            <w:r>
              <w:rPr>
                <w:rFonts w:ascii="Arial" w:cs="Arial" w:eastAsia="Arial" w:hAnsi="Arial"/>
                <w:sz w:val="10"/>
                <w:szCs w:val="10"/>
                <w:color w:val="auto"/>
              </w:rPr>
              <w:t>General and administrative</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6%</w:t>
            </w:r>
          </w:p>
        </w:tc>
        <w:tc>
          <w:tcPr>
            <w:tcW w:w="10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6%</w:t>
            </w:r>
          </w:p>
        </w:tc>
        <w:tc>
          <w:tcPr>
            <w:tcW w:w="10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6%</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w:t>
            </w: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w:t>
            </w:r>
          </w:p>
        </w:tc>
        <w:tc>
          <w:tcPr>
            <w:tcW w:w="10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6%</w:t>
            </w:r>
          </w:p>
        </w:tc>
        <w:tc>
          <w:tcPr>
            <w:tcW w:w="9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Depreciation and amortization</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10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10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w:t>
            </w:r>
          </w:p>
        </w:tc>
        <w:tc>
          <w:tcPr>
            <w:tcW w:w="9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7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6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0"/>
                <w:szCs w:val="10"/>
                <w:color w:val="auto"/>
              </w:rPr>
              <w:t>Total operating expenses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vMerge w:val="continue"/>
          </w:tcPr>
          <w:p>
            <w:pPr>
              <w:spacing w:after="0"/>
              <w:rPr>
                <w:sz w:val="8"/>
                <w:szCs w:val="8"/>
                <w:color w:val="auto"/>
              </w:rPr>
            </w:pP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93%</w:t>
            </w:r>
          </w:p>
        </w:tc>
        <w:tc>
          <w:tcPr>
            <w:tcW w:w="70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105%</w:t>
            </w:r>
          </w:p>
        </w:tc>
        <w:tc>
          <w:tcPr>
            <w:tcW w:w="106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98%</w:t>
            </w:r>
          </w:p>
        </w:tc>
        <w:tc>
          <w:tcPr>
            <w:tcW w:w="102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98%</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95%</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95%</w:t>
            </w:r>
          </w:p>
        </w:tc>
        <w:tc>
          <w:tcPr>
            <w:tcW w:w="100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89%</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88%</w:t>
            </w:r>
          </w:p>
        </w:tc>
        <w:tc>
          <w:tcPr>
            <w:tcW w:w="74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85%</w:t>
            </w:r>
          </w:p>
        </w:tc>
        <w:tc>
          <w:tcPr>
            <w:tcW w:w="6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Income (loss) from operations</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3%</w:t>
            </w:r>
          </w:p>
        </w:tc>
        <w:tc>
          <w:tcPr>
            <w:tcW w:w="7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(9)%</w:t>
            </w:r>
          </w:p>
        </w:tc>
        <w:tc>
          <w:tcPr>
            <w:tcW w:w="10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(2)%</w:t>
            </w:r>
          </w:p>
        </w:tc>
        <w:tc>
          <w:tcPr>
            <w:tcW w:w="10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(3)%</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6%</w:t>
            </w:r>
          </w:p>
        </w:tc>
        <w:tc>
          <w:tcPr>
            <w:tcW w:w="9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7%</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10%</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Other income (expense)</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w:t>
            </w:r>
          </w:p>
        </w:tc>
        <w:tc>
          <w:tcPr>
            <w:tcW w:w="10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(0)%</w:t>
            </w:r>
          </w:p>
        </w:tc>
        <w:tc>
          <w:tcPr>
            <w:tcW w:w="10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w:t>
            </w:r>
          </w:p>
        </w:tc>
        <w:tc>
          <w:tcPr>
            <w:tcW w:w="10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w:t>
            </w:r>
          </w:p>
        </w:tc>
        <w:tc>
          <w:tcPr>
            <w:tcW w:w="9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Income (loss) before income taxes</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3%</w:t>
            </w:r>
          </w:p>
        </w:tc>
        <w:tc>
          <w:tcPr>
            <w:tcW w:w="7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(9)%</w:t>
            </w:r>
          </w:p>
        </w:tc>
        <w:tc>
          <w:tcPr>
            <w:tcW w:w="10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(2)%</w:t>
            </w:r>
          </w:p>
        </w:tc>
        <w:tc>
          <w:tcPr>
            <w:tcW w:w="10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(3)%</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6%</w:t>
            </w:r>
          </w:p>
        </w:tc>
        <w:tc>
          <w:tcPr>
            <w:tcW w:w="9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7%</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10%</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Provision (benefit) for income taxes</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w:t>
            </w:r>
          </w:p>
        </w:tc>
        <w:tc>
          <w:tcPr>
            <w:tcW w:w="10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w:t>
            </w:r>
          </w:p>
        </w:tc>
        <w:tc>
          <w:tcPr>
            <w:tcW w:w="10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w:t>
            </w:r>
          </w:p>
        </w:tc>
        <w:tc>
          <w:tcPr>
            <w:tcW w:w="10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w:t>
            </w:r>
          </w:p>
        </w:tc>
        <w:tc>
          <w:tcPr>
            <w:tcW w:w="9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7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w:t>
            </w:r>
          </w:p>
        </w:tc>
        <w:tc>
          <w:tcPr>
            <w:tcW w:w="6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22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Net income (loss)</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2%</w:t>
            </w:r>
          </w:p>
        </w:tc>
        <w:tc>
          <w:tcPr>
            <w:tcW w:w="7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(6)%</w:t>
            </w:r>
          </w:p>
        </w:tc>
        <w:tc>
          <w:tcPr>
            <w:tcW w:w="10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10"/>
                <w:szCs w:val="10"/>
                <w:color w:val="auto"/>
              </w:rPr>
              <w:t>(1)%</w:t>
            </w:r>
          </w:p>
        </w:tc>
        <w:tc>
          <w:tcPr>
            <w:tcW w:w="10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(2)%</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1%</w:t>
            </w:r>
          </w:p>
        </w:tc>
        <w:tc>
          <w:tcPr>
            <w:tcW w:w="6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4%</w:t>
            </w:r>
          </w:p>
        </w:tc>
        <w:tc>
          <w:tcPr>
            <w:tcW w:w="9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6%</w:t>
            </w:r>
          </w:p>
        </w:tc>
        <w:tc>
          <w:tcPr>
            <w:tcW w:w="74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6%</w:t>
            </w:r>
          </w:p>
        </w:tc>
        <w:tc>
          <w:tcPr>
            <w:tcW w:w="68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revenue has increased over the periods presented above driven by the acquisition of new customers and an increase in AARSD.</w:t>
      </w:r>
    </w:p>
    <w:p>
      <w:pPr>
        <w:spacing w:after="0" w:line="141" w:lineRule="exact"/>
        <w:rPr>
          <w:sz w:val="20"/>
          <w:szCs w:val="20"/>
          <w:color w:val="auto"/>
        </w:rPr>
      </w:pPr>
    </w:p>
    <w:p>
      <w:pPr>
        <w:ind w:right="140" w:firstLine="326"/>
        <w:spacing w:after="0" w:line="239" w:lineRule="auto"/>
        <w:rPr>
          <w:sz w:val="20"/>
          <w:szCs w:val="20"/>
          <w:color w:val="auto"/>
        </w:rPr>
      </w:pPr>
      <w:r>
        <w:rPr>
          <w:rFonts w:ascii="Arial" w:cs="Arial" w:eastAsia="Arial" w:hAnsi="Arial"/>
          <w:sz w:val="12"/>
          <w:szCs w:val="12"/>
          <w:color w:val="auto"/>
        </w:rPr>
        <w:t>Our gross margin has remained relatively consistent on a quarterly basis. We expect our cost of revenue to increase as we continue to scale our business and introduce new products; however, we may experience fluctuations as a percentage of revenue from period to period depending on the timing of significant expenditures.</w:t>
      </w:r>
    </w:p>
    <w:p>
      <w:pPr>
        <w:spacing w:after="0" w:line="139" w:lineRule="exact"/>
        <w:rPr>
          <w:sz w:val="20"/>
          <w:szCs w:val="20"/>
          <w:color w:val="auto"/>
        </w:rPr>
      </w:pPr>
    </w:p>
    <w:p>
      <w:pPr>
        <w:ind w:firstLine="326"/>
        <w:spacing w:after="0" w:line="262" w:lineRule="auto"/>
        <w:rPr>
          <w:sz w:val="20"/>
          <w:szCs w:val="20"/>
          <w:color w:val="auto"/>
        </w:rPr>
      </w:pPr>
      <w:r>
        <w:rPr>
          <w:rFonts w:ascii="Arial" w:cs="Arial" w:eastAsia="Arial" w:hAnsi="Arial"/>
          <w:sz w:val="11"/>
          <w:szCs w:val="11"/>
          <w:color w:val="auto"/>
        </w:rPr>
        <w:t>Our operating expenses have decreased as a percentage of revenue because our revenue has grown faster than the growth in costs associated with increases in headcount and other related expenses to support our growth. Across the retail automotive industry, consumer purchases typically increase through the first three quarters of each year, due in part to the introduction of new vehicle models from manufacturers, and our consumer marketing spend grows accordingly. As consumer purchases slow in the fourth quarter of each year, our marketing spend growth also slows. This seasonality has not been immediately apparent historically due to the overall growth of other operating expenses. As our growth rates begin to moderate, the impact of these seasonality trends on our results of operations could become more pronounced. Historical quarterly patterns should not be considered a reliable indicator of our future performance. We anticipate our operating expenses as a percentage of revenue will fluctuate as we invest in the long-term growth of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and Uses of Cash</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cash flows from operating, investing, and financing activities, as reflected in the consolidated statements of cash flows, are summarized in the following table: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6"/>
          </w:tcPr>
          <w:p>
            <w:pPr>
              <w:jc w:val="center"/>
              <w:ind w:right="100"/>
              <w:spacing w:after="0"/>
              <w:rPr>
                <w:sz w:val="20"/>
                <w:szCs w:val="20"/>
                <w:color w:val="auto"/>
              </w:rPr>
            </w:pPr>
            <w:r>
              <w:rPr>
                <w:rFonts w:ascii="Arial" w:cs="Arial" w:eastAsia="Arial" w:hAnsi="Arial"/>
                <w:sz w:val="12"/>
                <w:szCs w:val="12"/>
                <w:color w:val="auto"/>
                <w:w w:val="94"/>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tcPr>
          <w:p>
            <w:pPr>
              <w:jc w:val="right"/>
              <w:ind w:right="420"/>
              <w:spacing w:after="0"/>
              <w:rPr>
                <w:sz w:val="20"/>
                <w:szCs w:val="20"/>
                <w:color w:val="auto"/>
              </w:rPr>
            </w:pPr>
            <w:r>
              <w:rPr>
                <w:rFonts w:ascii="Arial" w:cs="Arial" w:eastAsia="Arial" w:hAnsi="Arial"/>
                <w:sz w:val="12"/>
                <w:szCs w:val="12"/>
                <w:color w:val="auto"/>
              </w:rPr>
              <w:t>Six Months</w:t>
            </w:r>
          </w:p>
        </w:tc>
      </w:tr>
      <w:tr>
        <w:trPr>
          <w:trHeight w:val="133"/>
        </w:trPr>
        <w:tc>
          <w:tcPr>
            <w:tcW w:w="5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6"/>
          </w:tcPr>
          <w:p>
            <w:pPr>
              <w:jc w:val="center"/>
              <w:ind w:right="80"/>
              <w:spacing w:after="0" w:line="133" w:lineRule="exact"/>
              <w:rPr>
                <w:sz w:val="20"/>
                <w:szCs w:val="20"/>
                <w:color w:val="auto"/>
              </w:rPr>
            </w:pPr>
            <w:r>
              <w:rPr>
                <w:rFonts w:ascii="Arial" w:cs="Arial" w:eastAsia="Arial" w:hAnsi="Arial"/>
                <w:sz w:val="12"/>
                <w:szCs w:val="12"/>
                <w:color w:val="auto"/>
                <w:w w:val="98"/>
              </w:rPr>
              <w:t>December 31,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6"/>
          </w:tcPr>
          <w:p>
            <w:pPr>
              <w:jc w:val="right"/>
              <w:ind w:right="300"/>
              <w:spacing w:after="0" w:line="133" w:lineRule="exact"/>
              <w:rPr>
                <w:sz w:val="20"/>
                <w:szCs w:val="20"/>
                <w:color w:val="auto"/>
              </w:rPr>
            </w:pPr>
            <w:r>
              <w:rPr>
                <w:rFonts w:ascii="Arial" w:cs="Arial" w:eastAsia="Arial" w:hAnsi="Arial"/>
                <w:sz w:val="12"/>
                <w:szCs w:val="12"/>
                <w:color w:val="auto"/>
              </w:rPr>
              <w:t>Ended June 30,</w:t>
            </w:r>
          </w:p>
        </w:tc>
      </w:tr>
      <w:tr>
        <w:trPr>
          <w:trHeight w:val="142"/>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2016</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tcPr>
          <w:p>
            <w:pPr>
              <w:jc w:val="right"/>
              <w:ind w:right="300"/>
              <w:spacing w:after="0"/>
              <w:rPr>
                <w:sz w:val="20"/>
                <w:szCs w:val="20"/>
                <w:color w:val="auto"/>
              </w:rPr>
            </w:pPr>
            <w:r>
              <w:rPr>
                <w:rFonts w:ascii="Arial" w:cs="Arial" w:eastAsia="Arial" w:hAnsi="Arial"/>
                <w:sz w:val="12"/>
                <w:szCs w:val="12"/>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cash provided by operating activities</w:t>
            </w:r>
          </w:p>
        </w:tc>
        <w:tc>
          <w:tcPr>
            <w:tcW w:w="1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12,915</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20,004</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6,582</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10,090</w:t>
            </w:r>
          </w:p>
        </w:tc>
        <w:tc>
          <w:tcPr>
            <w:tcW w:w="120" w:type="dxa"/>
            <w:vAlign w:val="bottom"/>
            <w:shd w:val="clear" w:color="auto" w:fill="CCEEFF"/>
          </w:tcPr>
          <w:p>
            <w:pPr>
              <w:spacing w:after="0"/>
              <w:rPr>
                <w:sz w:val="11"/>
                <w:szCs w:val="1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Net cash used in investing activities</w:t>
            </w: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(7,615)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(51,992)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(35,155)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(6,149)</w:t>
            </w: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cash provided by (used in) financing activities</w:t>
            </w: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49,965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(137)</w:t>
            </w: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Impact of foreign currency on cash</w:t>
            </w: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29</w:t>
            </w:r>
          </w:p>
        </w:tc>
        <w:tc>
          <w:tcPr>
            <w:tcW w:w="120" w:type="dxa"/>
            <w:vAlign w:val="bottom"/>
          </w:tcPr>
          <w:p>
            <w:pPr>
              <w:spacing w:after="0"/>
              <w:rPr>
                <w:sz w:val="11"/>
                <w:szCs w:val="11"/>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50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increase (decrease) in cash, cash equivalents, and restricted cash</w:t>
            </w:r>
          </w:p>
        </w:tc>
        <w:tc>
          <w:tcPr>
            <w:tcW w:w="15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55,265</w:t>
            </w:r>
          </w:p>
        </w:tc>
        <w:tc>
          <w:tcPr>
            <w:tcW w:w="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center"/>
              <w:ind w:right="4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(31,343)</w:t>
            </w:r>
          </w:p>
        </w:tc>
        <w:tc>
          <w:tcPr>
            <w:tcW w:w="1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(28,531)</w:t>
            </w:r>
          </w:p>
        </w:tc>
        <w:tc>
          <w:tcPr>
            <w:tcW w:w="1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3,833</w:t>
            </w:r>
          </w:p>
        </w:tc>
        <w:tc>
          <w:tcPr>
            <w:tcW w:w="120" w:type="dxa"/>
            <w:vAlign w:val="bottom"/>
            <w:shd w:val="clear" w:color="auto" w:fill="CCEEFF"/>
          </w:tcPr>
          <w:p>
            <w:pPr>
              <w:spacing w:after="0"/>
              <w:rPr>
                <w:sz w:val="10"/>
                <w:szCs w:val="10"/>
                <w:color w:val="auto"/>
              </w:rPr>
            </w:pPr>
          </w:p>
        </w:tc>
      </w:tr>
      <w:tr>
        <w:trPr>
          <w:trHeight w:val="27"/>
        </w:trPr>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right="460" w:firstLine="319"/>
        <w:spacing w:after="0" w:line="256" w:lineRule="auto"/>
        <w:rPr>
          <w:sz w:val="20"/>
          <w:szCs w:val="20"/>
          <w:color w:val="auto"/>
        </w:rPr>
      </w:pPr>
      <w:r>
        <w:rPr>
          <w:rFonts w:ascii="Arial" w:cs="Arial" w:eastAsia="Arial" w:hAnsi="Arial"/>
          <w:sz w:val="11"/>
          <w:szCs w:val="11"/>
          <w:color w:val="auto"/>
        </w:rPr>
        <w:t>At June 30, 2017, our principal sources of liquidity were cash and cash equivalents of $33.3 million and investments of $48.0 million. Our operations were initially financed by a capitalization of approximately $5 million from external capital and subsequently have been financed primarily from operating activities and recent sales of preferred stock. We generated cash from operating activities of $12.9 million during 2015,</w:t>
      </w:r>
    </w:p>
    <w:p>
      <w:pPr>
        <w:ind w:right="60"/>
        <w:spacing w:after="0" w:line="264" w:lineRule="auto"/>
        <w:rPr>
          <w:sz w:val="20"/>
          <w:szCs w:val="20"/>
          <w:color w:val="auto"/>
        </w:rPr>
      </w:pPr>
      <w:r>
        <w:rPr>
          <w:rFonts w:ascii="Arial" w:cs="Arial" w:eastAsia="Arial" w:hAnsi="Arial"/>
          <w:sz w:val="11"/>
          <w:szCs w:val="11"/>
          <w:color w:val="auto"/>
        </w:rPr>
        <w:t>$20.0 million during 2016 and $10.1 million during the first six months of 2017, and we expect to generate cash from operations for the foreseeable future. We believe that our existing sources of liquidity will be sufficient to fund our operations for at least the next 12 months.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5" w:lineRule="exact"/>
        <w:rPr>
          <w:sz w:val="20"/>
          <w:szCs w:val="20"/>
          <w:color w:val="auto"/>
        </w:rPr>
      </w:pPr>
    </w:p>
    <w:p>
      <w:pPr>
        <w:ind w:right="100" w:firstLine="326"/>
        <w:spacing w:after="0" w:line="281" w:lineRule="auto"/>
        <w:rPr>
          <w:sz w:val="20"/>
          <w:szCs w:val="20"/>
          <w:color w:val="auto"/>
        </w:rPr>
      </w:pPr>
      <w:r>
        <w:rPr>
          <w:rFonts w:ascii="Arial" w:cs="Arial" w:eastAsia="Arial" w:hAnsi="Arial"/>
          <w:sz w:val="11"/>
          <w:szCs w:val="11"/>
          <w:color w:val="auto"/>
        </w:rPr>
        <w:t>Cash provided by operating activities during the first six months of 2017 was $10.1 million, due primarily to net income of $8.6 million, a $2.1 million increase in accrued income taxes, $1.6 million of depreciation and amortization, and a $1.2 million increase in accounts payable. These increases were partially offset by a $2.9 million decrease in accrued expenses and a $2.7 million increase in accounts receivable.</w:t>
      </w:r>
    </w:p>
    <w:p>
      <w:pPr>
        <w:spacing w:after="0" w:line="118"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Cash provided by operating activities during the first six months of 2016 was $6.6 million, due primarily to an increase in accounts payable of $2.5 million, an increase in deferred revenue of $1.3 million, $0.8 million of depreciation and amortization, and net income of $0.5 million.</w:t>
      </w:r>
    </w:p>
    <w:p>
      <w:pPr>
        <w:spacing w:after="0" w:line="139"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Cash provided by operating activities during 2016 was $20.0 million. This was due primarily to our net income of $6.5 million, an increase in accounts payable of $5.8 million, primarily related to higher marketing costs, an increase in accrued expenses of $4.1 million due to higher accrued bonuses and commissions, an increase of $1.9 million in deferred revenue related to customer prepayments, and an increase in deferred rent of $1.9 million related to new office space. These increases were partially offset by a $2.2 million increase in prepaid expenses primarily related to income tax payments and a $1.4 million increase in accounts receivable due to revenue growth.</w:t>
      </w:r>
    </w:p>
    <w:p>
      <w:pPr>
        <w:spacing w:after="0" w:line="139" w:lineRule="exact"/>
        <w:rPr>
          <w:sz w:val="20"/>
          <w:szCs w:val="20"/>
          <w:color w:val="auto"/>
        </w:rPr>
      </w:pPr>
    </w:p>
    <w:p>
      <w:pPr>
        <w:ind w:right="400" w:firstLine="326"/>
        <w:spacing w:after="0" w:line="239" w:lineRule="auto"/>
        <w:rPr>
          <w:sz w:val="20"/>
          <w:szCs w:val="20"/>
          <w:color w:val="auto"/>
        </w:rPr>
      </w:pPr>
      <w:r>
        <w:rPr>
          <w:rFonts w:ascii="Arial" w:cs="Arial" w:eastAsia="Arial" w:hAnsi="Arial"/>
          <w:sz w:val="12"/>
          <w:szCs w:val="12"/>
          <w:color w:val="auto"/>
        </w:rPr>
        <w:t>Cash provided by operating activities during 2015 was $12.9 million. This was primarily due to increases in accounts payable, deferred rent, and accrued expenses of $6.1 million, $4.7 million, and $2.5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investing activities consist primarily of purchases of property and equipment, capitalized website development costs, and short-term investments.</w:t>
      </w:r>
    </w:p>
    <w:p>
      <w:pPr>
        <w:spacing w:after="0" w:line="141" w:lineRule="exact"/>
        <w:rPr>
          <w:sz w:val="20"/>
          <w:szCs w:val="20"/>
          <w:color w:val="auto"/>
        </w:rPr>
      </w:pPr>
    </w:p>
    <w:p>
      <w:pPr>
        <w:ind w:right="340" w:firstLine="326"/>
        <w:spacing w:after="0" w:line="239" w:lineRule="auto"/>
        <w:rPr>
          <w:sz w:val="20"/>
          <w:szCs w:val="20"/>
          <w:color w:val="auto"/>
        </w:rPr>
      </w:pPr>
      <w:r>
        <w:rPr>
          <w:rFonts w:ascii="Arial" w:cs="Arial" w:eastAsia="Arial" w:hAnsi="Arial"/>
          <w:sz w:val="12"/>
          <w:szCs w:val="12"/>
          <w:color w:val="auto"/>
        </w:rPr>
        <w:t>Cash used in investing activities of $6.1 million during the first six months of 2017 was due to $30.0 million of investments in certificates of deposit, net of maturities of $26.8 million, $2.0 million of investments in furniture, computer equipment, and leasehold improvements, and $0.9 million related to the capitalization of website development costs.</w:t>
      </w:r>
    </w:p>
    <w:p>
      <w:pPr>
        <w:spacing w:after="0" w:line="139"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Cash used in investing activities of $35.2 million during the first six months of 2016 resulted from $33.0 million of investments in certificates of deposit, $1.7 million of investments in furniture, computer equipment, and leasehold improvements, and $0.5 million related to the capitalization of website development costs.</w:t>
      </w:r>
    </w:p>
    <w:p>
      <w:pPr>
        <w:spacing w:after="0" w:line="139" w:lineRule="exact"/>
        <w:rPr>
          <w:sz w:val="20"/>
          <w:szCs w:val="20"/>
          <w:color w:val="auto"/>
        </w:rPr>
      </w:pPr>
    </w:p>
    <w:p>
      <w:pPr>
        <w:ind w:right="320" w:firstLine="326"/>
        <w:spacing w:after="0" w:line="239" w:lineRule="auto"/>
        <w:rPr>
          <w:sz w:val="20"/>
          <w:szCs w:val="20"/>
          <w:color w:val="auto"/>
        </w:rPr>
      </w:pPr>
      <w:r>
        <w:rPr>
          <w:rFonts w:ascii="Arial" w:cs="Arial" w:eastAsia="Arial" w:hAnsi="Arial"/>
          <w:sz w:val="12"/>
          <w:szCs w:val="12"/>
          <w:color w:val="auto"/>
        </w:rPr>
        <w:t>Cash used in investing activities of $52.0 million during 2016 resulted primarily from $59.8 million of investments in certificates of deposit, net of maturities of $15.0 million, $5.8 million of investments in furniture, computer equipment, and leasehold improvements, and $1.4 million related to the capitalization of website development costs.</w:t>
      </w:r>
    </w:p>
    <w:p>
      <w:pPr>
        <w:spacing w:after="0" w:line="139" w:lineRule="exact"/>
        <w:rPr>
          <w:sz w:val="20"/>
          <w:szCs w:val="20"/>
          <w:color w:val="auto"/>
        </w:rPr>
      </w:pPr>
    </w:p>
    <w:p>
      <w:pPr>
        <w:ind w:right="640" w:firstLine="326"/>
        <w:spacing w:after="0" w:line="239" w:lineRule="auto"/>
        <w:rPr>
          <w:sz w:val="20"/>
          <w:szCs w:val="20"/>
          <w:color w:val="auto"/>
        </w:rPr>
      </w:pPr>
      <w:r>
        <w:rPr>
          <w:rFonts w:ascii="Arial" w:cs="Arial" w:eastAsia="Arial" w:hAnsi="Arial"/>
          <w:sz w:val="12"/>
          <w:szCs w:val="12"/>
          <w:color w:val="auto"/>
        </w:rPr>
        <w:t>Cash used in investing activities of $7.6 million during 2015 resulted primarily from $6.4 million of investments in furniture, computer equipment, and leasehold improvements and $1.3 million related to the capitalization of website development costs.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5"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Cash used in financing activities of $0.1 million during the first six months of 2017 primarily reflects $0.3 million of initial public offering costs, partially offset by $0.2 million related to the proceeds from the issuance of common stock related to the exercise of vested stock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Cash provided by financing activities of $0.1 million during the first six months of 2016 represented the proceeds from the issuance of common stock related to the exercise of vested stock options.</w:t>
      </w:r>
    </w:p>
    <w:p>
      <w:pPr>
        <w:spacing w:after="0" w:line="141"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Cash provided by financing activities of $0.7 million during 2016 primarily reflects $59.7 million of proceeds from the issuance of Series E preferred stock, net of issuance costs, and a tax benefit of $0.8 million related to the exercise of stock options, which was partially offset by the $60.0 million used for the repurchase of previously issued preferred stock, common stock, vested options, and restricted stock units.</w:t>
      </w:r>
    </w:p>
    <w:p>
      <w:pPr>
        <w:spacing w:after="0" w:line="139"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Cash provided by financing activities of $50.0 million during 2015 primarily reflects $67.9 million of proceeds from the issuance of Series D preferred stock, net of issuance costs. The proceeds were partially offset by the $18.0 million used for the repurchase of previously issued preferred stock, common stock and vested options.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Known Future Cash Requirements</w:t>
      </w:r>
    </w:p>
    <w:p>
      <w:pPr>
        <w:spacing w:after="0" w:line="155" w:lineRule="exact"/>
        <w:rPr>
          <w:sz w:val="20"/>
          <w:szCs w:val="20"/>
          <w:color w:val="auto"/>
        </w:rPr>
      </w:pPr>
    </w:p>
    <w:p>
      <w:pPr>
        <w:ind w:right="120" w:firstLine="326"/>
        <w:spacing w:after="0" w:line="237" w:lineRule="auto"/>
        <w:rPr>
          <w:sz w:val="20"/>
          <w:szCs w:val="20"/>
          <w:color w:val="auto"/>
        </w:rPr>
      </w:pPr>
      <w:r>
        <w:rPr>
          <w:rFonts w:ascii="Arial" w:cs="Arial" w:eastAsia="Arial" w:hAnsi="Arial"/>
          <w:sz w:val="12"/>
          <w:szCs w:val="12"/>
          <w:color w:val="auto"/>
        </w:rPr>
        <w:t>Our lease obligations consist of various leases for office space in Massachusetts and Dublin with various lease terms through January 2024. The terms of our Massachusetts lease agreements provide for rental payments that increase on an annual basis. We recognize rent expense on a straight-line basis over the lease period. We do not have any debt or material capital lease obligations as of December 31, 2016 and all of our property, equipment, and software have been purchased with cash. We have no material long-term purchase obligations outstanding with any vendors or third parties.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Set forth below is information concerning our known contractual obligations at December 31, 2016 that are fixed and determinable.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Less than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color w:val="auto"/>
              </w:rPr>
              <w:t>More than</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 year</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2 - 3 years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4 - 5 years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5 years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Operating lease obligations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w w:val="97"/>
              </w:rPr>
              <w:t>42,140</w:t>
            </w: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6,437</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13,432</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13,832</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8,439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2"/>
                <w:szCs w:val="12"/>
                <w:color w:val="auto"/>
              </w:rPr>
              <w:t>Total contractual obligations</w:t>
            </w: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20" w:type="dxa"/>
            <w:vAlign w:val="bottom"/>
            <w:vMerge w:val="continue"/>
          </w:tcPr>
          <w:p>
            <w:pPr>
              <w:spacing w:after="0"/>
              <w:rPr>
                <w:sz w:val="10"/>
                <w:szCs w:val="10"/>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00" w:type="dxa"/>
            <w:vAlign w:val="bottom"/>
          </w:tcPr>
          <w:p>
            <w:pPr>
              <w:ind w:left="120"/>
              <w:spacing w:after="0" w:line="124" w:lineRule="exact"/>
              <w:rPr>
                <w:sz w:val="20"/>
                <w:szCs w:val="20"/>
                <w:color w:val="auto"/>
              </w:rPr>
            </w:pPr>
            <w:r>
              <w:rPr>
                <w:rFonts w:ascii="Arial" w:cs="Arial" w:eastAsia="Arial" w:hAnsi="Arial"/>
                <w:sz w:val="12"/>
                <w:szCs w:val="12"/>
                <w:color w:val="auto"/>
                <w:w w:val="97"/>
              </w:rPr>
              <w:t>42,140</w:t>
            </w:r>
          </w:p>
        </w:tc>
        <w:tc>
          <w:tcPr>
            <w:tcW w:w="24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6,437</w:t>
            </w:r>
          </w:p>
        </w:tc>
        <w:tc>
          <w:tcPr>
            <w:tcW w:w="2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13,432</w:t>
            </w:r>
          </w:p>
        </w:tc>
        <w:tc>
          <w:tcPr>
            <w:tcW w:w="2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4" w:lineRule="exact"/>
              <w:rPr>
                <w:sz w:val="20"/>
                <w:szCs w:val="20"/>
                <w:color w:val="auto"/>
              </w:rPr>
            </w:pPr>
            <w:r>
              <w:rPr>
                <w:rFonts w:ascii="Arial" w:cs="Arial" w:eastAsia="Arial" w:hAnsi="Arial"/>
                <w:sz w:val="12"/>
                <w:szCs w:val="12"/>
                <w:color w:val="auto"/>
              </w:rPr>
              <w:t>13,832</w:t>
            </w:r>
          </w:p>
        </w:tc>
        <w:tc>
          <w:tcPr>
            <w:tcW w:w="2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8,439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2016 and June 30, 2017, we did not have any off-balance sheet arrangements, except for operating leases entered into in the normal course of business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Market risk represents the risk of loss that may affect our financial position due to adverse changes in financial market prices and rates. We are exposed to market risks related to changes in interest rates.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did not have any long-term borrowings as of December 31, 2016 or as of June 30, 2017.</w:t>
      </w:r>
    </w:p>
    <w:p>
      <w:pPr>
        <w:spacing w:after="0" w:line="141" w:lineRule="exact"/>
        <w:rPr>
          <w:sz w:val="20"/>
          <w:szCs w:val="20"/>
          <w:color w:val="auto"/>
        </w:rPr>
      </w:pPr>
    </w:p>
    <w:p>
      <w:pPr>
        <w:ind w:right="200" w:firstLine="326"/>
        <w:spacing w:after="0" w:line="239" w:lineRule="auto"/>
        <w:rPr>
          <w:sz w:val="20"/>
          <w:szCs w:val="20"/>
          <w:color w:val="auto"/>
        </w:rPr>
      </w:pPr>
      <w:r>
        <w:rPr>
          <w:rFonts w:ascii="Arial" w:cs="Arial" w:eastAsia="Arial" w:hAnsi="Arial"/>
          <w:sz w:val="12"/>
          <w:szCs w:val="12"/>
          <w:color w:val="auto"/>
        </w:rPr>
        <w:t>We had cash, cash equivalents, and investments of $74.3 million and $81.3 million at December 31, 2016 and June 30, 2017, respectively, which consists of bank deposits, money market funds and certificates of deposit with maturity dates ranging from three to 12 months. Such interest-earning instruments carry a degree of interest rate risk. To date, fluctuations in interest income have not been significant.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do not enter into investments for trading or speculative purposes and have not used any derivative financial instruments to manage our interest rate risk exposure.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Risk</w:t>
      </w:r>
    </w:p>
    <w:p>
      <w:pPr>
        <w:spacing w:after="0" w:line="155"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155"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Historically, because our operations and sales have been primarily in the United States, we have not faced any significant foreign currency risk. As of December 31, 2016 and June 30, 2017, we have foreign currency exposures in the British pound and the Euro, although such exposure is not significant.</w:t>
      </w:r>
    </w:p>
    <w:p>
      <w:pPr>
        <w:spacing w:after="0" w:line="139" w:lineRule="exact"/>
        <w:rPr>
          <w:sz w:val="20"/>
          <w:szCs w:val="20"/>
          <w:color w:val="auto"/>
        </w:rPr>
      </w:pPr>
    </w:p>
    <w:p>
      <w:pPr>
        <w:ind w:right="160" w:firstLine="326"/>
        <w:spacing w:after="0" w:line="239" w:lineRule="auto"/>
        <w:rPr>
          <w:sz w:val="20"/>
          <w:szCs w:val="20"/>
          <w:color w:val="auto"/>
        </w:rPr>
      </w:pPr>
      <w:r>
        <w:rPr>
          <w:rFonts w:ascii="Arial" w:cs="Arial" w:eastAsia="Arial" w:hAnsi="Arial"/>
          <w:sz w:val="12"/>
          <w:szCs w:val="12"/>
          <w:color w:val="auto"/>
        </w:rPr>
        <w:t>Our foreign subsidiaries have intercompany accounts that are eliminated upon consolidation, and these accounts expose us to foreign currency exchange rate fluctuations. Exchange rate fluctuations on short-term intercompany accounts are recorded in our consolidated statements of operations under other income (expense).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we expand internationally, our risks associated with fluctuation in currency rates will become greater, and we will continue to reassess our approach to managing these risks.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Estimates</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1" w:lineRule="exact"/>
        <w:rPr>
          <w:sz w:val="20"/>
          <w:szCs w:val="20"/>
          <w:color w:val="auto"/>
        </w:rPr>
      </w:pPr>
    </w:p>
    <w:p>
      <w:pPr>
        <w:ind w:right="240" w:firstLine="326"/>
        <w:spacing w:after="0" w:line="237" w:lineRule="auto"/>
        <w:rPr>
          <w:sz w:val="20"/>
          <w:szCs w:val="20"/>
          <w:color w:val="auto"/>
        </w:rPr>
      </w:pPr>
      <w:r>
        <w:rPr>
          <w:rFonts w:ascii="Arial" w:cs="Arial" w:eastAsia="Arial" w:hAnsi="Arial"/>
          <w:sz w:val="12"/>
          <w:szCs w:val="12"/>
          <w:color w:val="auto"/>
        </w:rPr>
        <w:t>We believe that of our significant accounting policies, which are described in Note 2 to the notes to our consolidated financial statements included elsewhere in this prospectus,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5" w:lineRule="exact"/>
        <w:rPr>
          <w:sz w:val="20"/>
          <w:szCs w:val="20"/>
          <w:color w:val="auto"/>
        </w:rPr>
      </w:pPr>
    </w:p>
    <w:p>
      <w:pPr>
        <w:ind w:right="220" w:firstLine="326"/>
        <w:spacing w:after="0" w:line="239" w:lineRule="auto"/>
        <w:rPr>
          <w:sz w:val="20"/>
          <w:szCs w:val="20"/>
          <w:color w:val="auto"/>
        </w:rPr>
      </w:pPr>
      <w:r>
        <w:rPr>
          <w:rFonts w:ascii="Arial" w:cs="Arial" w:eastAsia="Arial" w:hAnsi="Arial"/>
          <w:sz w:val="12"/>
          <w:szCs w:val="12"/>
          <w:color w:val="auto"/>
        </w:rPr>
        <w:t>Our revenue is derived from two primary sources: marketplace subscription revenue, which consists of listing and display advertising subscriptions from dealers, and advertising and other revenue, which consists primarily of display advertising revenue from auto manufacturers and other auto-related brand advertisers.</w:t>
      </w:r>
    </w:p>
    <w:p>
      <w:pPr>
        <w:spacing w:after="0" w:line="139" w:lineRule="exact"/>
        <w:rPr>
          <w:sz w:val="20"/>
          <w:szCs w:val="20"/>
          <w:color w:val="auto"/>
        </w:rPr>
      </w:pPr>
    </w:p>
    <w:p>
      <w:pPr>
        <w:ind w:right="80" w:firstLine="326"/>
        <w:spacing w:after="0" w:line="239" w:lineRule="auto"/>
        <w:rPr>
          <w:sz w:val="20"/>
          <w:szCs w:val="20"/>
          <w:color w:val="auto"/>
        </w:rPr>
      </w:pPr>
      <w:r>
        <w:rPr>
          <w:rFonts w:ascii="Arial" w:cs="Arial" w:eastAsia="Arial" w:hAnsi="Arial"/>
          <w:sz w:val="12"/>
          <w:szCs w:val="12"/>
          <w:color w:val="auto"/>
        </w:rPr>
        <w:t>We recognize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39"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We offer two types of marketplace listing products to dealers, Enhanced or Featured Listing, which require a paid subscription under subscription contracts with initial terms ranging between one month and one year. Contracts for customers generally auto-renew on a monthly basis and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 xml:space="preserve">cancellable by dealers with 30-days' notice after the initial term. In addition, the arrangement allows dealers to access a dashboard to track sales leads and manage their accounts, which we refer to as the Dealer Dashboard. Customers do not have the right to take possession of our software. We recognize revenue in accordance with Accounting Standards Codification, or,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We recognize revenue on a monthly basis as revenue is earned. These contracts generally provide the customer with an unlimited amount of automobile inventory they can advertise.</w:t>
      </w:r>
    </w:p>
    <w:p>
      <w:pPr>
        <w:spacing w:after="0" w:line="141" w:lineRule="exact"/>
        <w:rPr>
          <w:sz w:val="20"/>
          <w:szCs w:val="20"/>
          <w:color w:val="auto"/>
        </w:rPr>
      </w:pPr>
    </w:p>
    <w:p>
      <w:pPr>
        <w:ind w:right="160" w:firstLine="326"/>
        <w:spacing w:after="0" w:line="237" w:lineRule="auto"/>
        <w:rPr>
          <w:sz w:val="20"/>
          <w:szCs w:val="20"/>
          <w:color w:val="auto"/>
        </w:rPr>
      </w:pPr>
      <w:r>
        <w:rPr>
          <w:rFonts w:ascii="Arial" w:cs="Arial" w:eastAsia="Arial" w:hAnsi="Arial"/>
          <w:sz w:val="12"/>
          <w:szCs w:val="12"/>
          <w:color w:val="auto"/>
        </w:rPr>
        <w:t>In addition to listing their inventory in our marketplace, we periodically enter into multiple-element service arrangements that provide dealers with Enhanced or Featured Listing products, as well as other advertising and customer acquisition products including display advertising, which appears in our marketplace and on other sites on the Internet and requires a paid subscription under contracts with initial terms ranging from one month to one year. Contracts for customers generally auto-renew on a monthly basis and are cancellable by dealers with 30-days' notice after the initial term.</w:t>
      </w:r>
    </w:p>
    <w:p>
      <w:pPr>
        <w:spacing w:after="0" w:line="129"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 xml:space="preserve">We assess arrangements with multiple deliverables under Financial Accounting Standards Board, or FASB, Accounting Standards Update, or ASU, No. 2009-13, Revenue Recognition (Topic 605), </w:t>
      </w:r>
      <w:r>
        <w:rPr>
          <w:rFonts w:ascii="Arial" w:cs="Arial" w:eastAsia="Arial" w:hAnsi="Arial"/>
          <w:sz w:val="12"/>
          <w:szCs w:val="12"/>
          <w:i w:val="1"/>
          <w:iCs w:val="1"/>
          <w:color w:val="auto"/>
        </w:rPr>
        <w:t xml:space="preserve">Multiple-Deliverable Revenue Arrangements — a Consensus of the FASB Emerging Issues Task Force </w:t>
      </w:r>
      <w:r>
        <w:rPr>
          <w:rFonts w:ascii="Arial" w:cs="Arial" w:eastAsia="Arial" w:hAnsi="Arial"/>
          <w:sz w:val="12"/>
          <w:szCs w:val="12"/>
          <w:color w:val="auto"/>
        </w:rPr>
        <w:t>(ASU 2009-13), which amended the previous multiple-element arrangements accounting guidance. Pursuant to ASU 2009-13,</w:t>
      </w:r>
      <w:r>
        <w:rPr>
          <w:rFonts w:ascii="Arial" w:cs="Arial" w:eastAsia="Arial" w:hAnsi="Arial"/>
          <w:sz w:val="12"/>
          <w:szCs w:val="12"/>
          <w:i w:val="1"/>
          <w:iCs w:val="1"/>
          <w:color w:val="auto"/>
        </w:rPr>
        <w:t xml:space="preserve"> </w:t>
      </w:r>
      <w:r>
        <w:rPr>
          <w:rFonts w:ascii="Arial" w:cs="Arial" w:eastAsia="Arial" w:hAnsi="Arial"/>
          <w:sz w:val="12"/>
          <w:szCs w:val="12"/>
          <w:color w:val="auto"/>
        </w:rPr>
        <w:t>in order to treat deliverables in a multiple-element arrangement as separate units of accounting, the deliverables must have stand-alone value upon delivery. If the deliverables have stand-alone value upon delivery, we account for each deliverable separately. We have concluded that each element in the arrangement has stand-alone value as the individual services can be sold separately. In addition, there is no right of refund once a service has been delivered. Therefore, we have concluded each element of the arrangement is a separate unit of accounting. While these arrangements are considered multiple-element arrangements, the recognition of the units of accounting follow a consistent ratable recognition given the pattern over which services are provided.</w:t>
      </w:r>
    </w:p>
    <w:p>
      <w:pPr>
        <w:spacing w:after="0" w:line="142" w:lineRule="exact"/>
        <w:rPr>
          <w:sz w:val="20"/>
          <w:szCs w:val="20"/>
          <w:color w:val="auto"/>
        </w:rPr>
      </w:pPr>
    </w:p>
    <w:p>
      <w:pPr>
        <w:ind w:right="40" w:firstLine="319"/>
        <w:spacing w:after="0" w:line="237" w:lineRule="auto"/>
        <w:rPr>
          <w:sz w:val="20"/>
          <w:szCs w:val="20"/>
          <w:color w:val="auto"/>
        </w:rPr>
      </w:pPr>
      <w:r>
        <w:rPr>
          <w:rFonts w:ascii="Arial" w:cs="Arial" w:eastAsia="Arial" w:hAnsi="Arial"/>
          <w:sz w:val="12"/>
          <w:szCs w:val="12"/>
          <w:color w:val="auto"/>
        </w:rPr>
        <w:t>Advertising and other revenue consists primarily of non-dealer display advertising revenue from auto manufacturers and other auto-related brand advertisers sold on a CPM basis. Impressions are the number of times an advertisement is loaded on a web page. Pricing is primarily based on advertisement size and position on our mobile applications and websites, and fees are generally billed monthly. We recognize such revenue as impressions are delivered.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do not provide minimum impression guarantees or other types of minimum guarantees in our contracts with customers.</w:t>
      </w:r>
    </w:p>
    <w:p>
      <w:pPr>
        <w:spacing w:after="0" w:line="141" w:lineRule="exact"/>
        <w:rPr>
          <w:sz w:val="20"/>
          <w:szCs w:val="20"/>
          <w:color w:val="auto"/>
        </w:rPr>
      </w:pPr>
    </w:p>
    <w:p>
      <w:pPr>
        <w:ind w:right="180" w:firstLine="326"/>
        <w:spacing w:after="0" w:line="237" w:lineRule="auto"/>
        <w:rPr>
          <w:sz w:val="20"/>
          <w:szCs w:val="20"/>
          <w:color w:val="auto"/>
        </w:rPr>
      </w:pPr>
      <w:r>
        <w:rPr>
          <w:rFonts w:ascii="Arial" w:cs="Arial" w:eastAsia="Arial" w:hAnsi="Arial"/>
          <w:sz w:val="12"/>
          <w:szCs w:val="12"/>
          <w:color w:val="auto"/>
        </w:rPr>
        <w:t>We sell advertising directly to auto manufacturers and other auto-related brand advertisers as well as indirectly through revenue sharing arrangements with advertising exchange partners. The advertising we sell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41" w:lineRule="exact"/>
        <w:rPr>
          <w:sz w:val="20"/>
          <w:szCs w:val="20"/>
          <w:color w:val="auto"/>
        </w:rPr>
      </w:pPr>
    </w:p>
    <w:p>
      <w:pPr>
        <w:jc w:val="both"/>
        <w:ind w:right="160" w:firstLine="326"/>
        <w:spacing w:after="0" w:line="237" w:lineRule="auto"/>
        <w:rPr>
          <w:sz w:val="20"/>
          <w:szCs w:val="20"/>
          <w:color w:val="auto"/>
        </w:rPr>
      </w:pPr>
      <w:r>
        <w:rPr>
          <w:rFonts w:ascii="Arial" w:cs="Arial" w:eastAsia="Arial" w:hAnsi="Arial"/>
          <w:sz w:val="12"/>
          <w:szCs w:val="12"/>
          <w:color w:val="auto"/>
        </w:rPr>
        <w:t>Revenue from advertising sold directly by us to auto manufacturers and other auto-related brand advertisers is recorded on a gross basis predominately because we are the primary obligor responsible for fulfilling advertisement delivery, including the acceptability of the services delivered. We enter into contractual arrangements directly with advertisers, and are directly responsible for the fulfillment of the contractual terms and any remedy for issues with such fulfillment. We also have latitude in establishing the selling price with the advertiser, as we sell advertisements at a rate determined at our sole discretion.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60" w:firstLine="319"/>
        <w:spacing w:after="0" w:line="236" w:lineRule="auto"/>
        <w:rPr>
          <w:sz w:val="20"/>
          <w:szCs w:val="20"/>
          <w:color w:val="auto"/>
        </w:rPr>
      </w:pPr>
      <w:r>
        <w:rPr>
          <w:rFonts w:ascii="Arial" w:cs="Arial" w:eastAsia="Arial" w:hAnsi="Arial"/>
          <w:sz w:val="12"/>
          <w:szCs w:val="12"/>
          <w:color w:val="auto"/>
        </w:rPr>
        <w:t>Advertising revenue subject to revenue sharing agreements between us and advertising exchange partners is recognized based on the net amount of revenue received from the partner predominately because the advertising partner, and not us, is the primary obligor responsible for fulfillment, including the acceptability of the services delivered. In partner-sold advertising arrangements, the advertising partner has a direct contractual relationship with the advertiser. There is no contractual relationship between us and the advertiser for partner-sold transactions. When an advertising exchange partner sells advertisements, the partner is responsible for fulfilling the advertisements, and accordingly, we have determined the advertising partner is the primary obligor. Additionally, we do not have any latitude in establishing the price with the advertiser for partner-sold advertising.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Revenue is presented net of any taxes collected from customers.</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We establish sales allowances at the time of revenue recognition based on our history of adjustments and credits provided to our customers. Sales allowances relate primarily to credits issued for service interruption. In assessing the adequacy of the sales allowance, we evaluate our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our estimates. Sales allowances are recorded as a reduction to revenue 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Website and Software Development Costs</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We capitalize certain costs associated with the development of our websites and internal-use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with the relevant authority, authorizes and commits to the funding of the software project,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internal-use software are expensed as incurred.</w:t>
      </w:r>
    </w:p>
    <w:p>
      <w:pPr>
        <w:spacing w:after="0" w:line="141" w:lineRule="exact"/>
        <w:rPr>
          <w:sz w:val="20"/>
          <w:szCs w:val="20"/>
          <w:color w:val="auto"/>
        </w:rPr>
      </w:pPr>
    </w:p>
    <w:p>
      <w:pPr>
        <w:ind w:right="160" w:firstLine="326"/>
        <w:spacing w:after="0" w:line="239" w:lineRule="auto"/>
        <w:rPr>
          <w:sz w:val="20"/>
          <w:szCs w:val="20"/>
          <w:color w:val="auto"/>
        </w:rPr>
      </w:pPr>
      <w:r>
        <w:rPr>
          <w:rFonts w:ascii="Arial" w:cs="Arial" w:eastAsia="Arial" w:hAnsi="Arial"/>
          <w:sz w:val="12"/>
          <w:szCs w:val="12"/>
          <w:color w:val="auto"/>
        </w:rPr>
        <w:t>Capitalized software development costs are amortized on a straight-line basis over their estimated useful life of three years. Management evaluates the useful lives of these assets on an annual basis and tests for impairment whenever events or changes in circumstances occur that could impact the recoverability of these assets.</w:t>
      </w:r>
    </w:p>
    <w:p>
      <w:pPr>
        <w:spacing w:after="0" w:line="139" w:lineRule="exact"/>
        <w:rPr>
          <w:sz w:val="20"/>
          <w:szCs w:val="20"/>
          <w:color w:val="auto"/>
        </w:rPr>
      </w:pPr>
    </w:p>
    <w:p>
      <w:pPr>
        <w:ind w:right="360" w:firstLine="326"/>
        <w:spacing w:after="0" w:line="239" w:lineRule="auto"/>
        <w:rPr>
          <w:sz w:val="20"/>
          <w:szCs w:val="20"/>
          <w:color w:val="auto"/>
        </w:rPr>
      </w:pPr>
      <w:r>
        <w:rPr>
          <w:rFonts w:ascii="Arial" w:cs="Arial" w:eastAsia="Arial" w:hAnsi="Arial"/>
          <w:sz w:val="12"/>
          <w:szCs w:val="12"/>
          <w:color w:val="auto"/>
        </w:rPr>
        <w:t>During the years ended December 31, 2015 and 2016, we capitalized $1.3 million and $1.4 million of website development costs, respectively. We recorded amortization expense associated with its capitalized website development costs of $0.2 million and $0.3 million, for the years ended December 31, 2015 and 2016, respectively.</w:t>
      </w:r>
    </w:p>
    <w:p>
      <w:pPr>
        <w:spacing w:after="0" w:line="139"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During the six months ended June 30, 2017, we capitalized $0.9 million of website development costs. We recorded amortization expense associated with our capitalized website development costs of $0.3 million for the six months ended June 30, 2017.</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5" w:lineRule="exact"/>
        <w:rPr>
          <w:sz w:val="20"/>
          <w:szCs w:val="20"/>
          <w:color w:val="auto"/>
        </w:rPr>
      </w:pPr>
    </w:p>
    <w:p>
      <w:pPr>
        <w:jc w:val="both"/>
        <w:ind w:right="80" w:firstLine="326"/>
        <w:spacing w:after="0" w:line="237" w:lineRule="auto"/>
        <w:rPr>
          <w:sz w:val="20"/>
          <w:szCs w:val="20"/>
          <w:color w:val="auto"/>
        </w:rPr>
      </w:pPr>
      <w:r>
        <w:rPr>
          <w:rFonts w:ascii="Arial" w:cs="Arial" w:eastAsia="Arial" w:hAnsi="Arial"/>
          <w:sz w:val="12"/>
          <w:szCs w:val="12"/>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41"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We account for uncertain tax positions recognized in the consolidated financial statements by prescribing a more-likely-than-not threshold for financial statement recognition and measurement of a tax position taken or expected to be taken in a tax return. Interest and penalties, if applicable, related to uncertain tax positions would be recognized as a component of income tax expense. We have no recorded liabilities for uncertain tax positions as of December 31, 2015 or 2016 or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5" w:lineRule="exact"/>
        <w:rPr>
          <w:sz w:val="20"/>
          <w:szCs w:val="20"/>
          <w:color w:val="auto"/>
        </w:rPr>
      </w:pPr>
    </w:p>
    <w:p>
      <w:pPr>
        <w:ind w:right="380" w:firstLine="326"/>
        <w:spacing w:after="0" w:line="237" w:lineRule="auto"/>
        <w:rPr>
          <w:sz w:val="20"/>
          <w:szCs w:val="20"/>
          <w:color w:val="auto"/>
        </w:rPr>
      </w:pPr>
      <w:r>
        <w:rPr>
          <w:rFonts w:ascii="Arial" w:cs="Arial" w:eastAsia="Arial" w:hAnsi="Arial"/>
          <w:sz w:val="12"/>
          <w:szCs w:val="12"/>
          <w:color w:val="auto"/>
        </w:rPr>
        <w:t>We recognize stock-based compensation for stock-based awards, including stock options and restricted stock units, or RSUs, based on the estimated fair value of the awards. Through the period ended December 31, 2016, we applied an estimated forfeiture rate in determining the total stock-based compensation expense to record for the period. For service-based awards, we recognize compensation expense on a straight-line basis over the requisite service period of the award.</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For RSUs issued under our stock-based compensation plans, the fair value of each grant is calculated based on the estimated fair value of our common stock on the date of grant. We estimate the fair value of most stock option awards on the date of grant using the Black-Scholes option-pricing model. Certain stock option awards that have an exercise price that is materially above the current estimated fair market value of our common stock are considered to be "deeply out of the money," and are valued at the date of grant using a binomial lattice option-pricing model. The fair value of each option grant issued under our stock-based compensation plans that is not considered "deeply out of the money" was estimated using the Black-Scholes option-pricing model.</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RSUs granted historically are subject to both a service-based vesting and a performance-based vesting condition achieved upon a liquidity event, defined as either a change of control or an initial public offering of our common stock, or IPO. As a result, no compensation cost related to stock-based awards with these performance conditions has been recognized through June 30, 2017, as we have determined that a liquidity event was not probable at December 31, 2015 or 2016 or June 30, 2017. We will record the expense for these awards using the accelerated attribution method over the remaining service period when management determines that achievement of the liquidity event is probable.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determined the assumptions for the Black-Scholes option-pricing model as discussed below. Each of these inputs is subjective and generally requires significant judgment to determine.</w:t>
      </w:r>
    </w:p>
    <w:p>
      <w:pPr>
        <w:spacing w:after="0" w:line="129" w:lineRule="exact"/>
        <w:rPr>
          <w:sz w:val="20"/>
          <w:szCs w:val="20"/>
          <w:color w:val="auto"/>
        </w:rPr>
      </w:pPr>
    </w:p>
    <w:p>
      <w:pPr>
        <w:ind w:left="720" w:right="340" w:hanging="368"/>
        <w:spacing w:after="0" w:line="259" w:lineRule="auto"/>
        <w:tabs>
          <w:tab w:leader="none" w:pos="72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Fair Value of Our Common Stock. </w:t>
      </w:r>
      <w:r>
        <w:rPr>
          <w:rFonts w:ascii="Arial" w:cs="Arial" w:eastAsia="Arial" w:hAnsi="Arial"/>
          <w:sz w:val="12"/>
          <w:szCs w:val="12"/>
          <w:color w:val="auto"/>
        </w:rPr>
        <w:t>Prior to this offering, our stock was not publicly traded, and therefore we estimated the fair value of our common stock, as discussed in "— Common Stock Valuations"</w:t>
      </w:r>
      <w:r>
        <w:rPr>
          <w:rFonts w:ascii="Arial" w:cs="Arial" w:eastAsia="Arial" w:hAnsi="Arial"/>
          <w:sz w:val="12"/>
          <w:szCs w:val="12"/>
          <w:i w:val="1"/>
          <w:iCs w:val="1"/>
          <w:color w:val="auto"/>
        </w:rPr>
        <w:t xml:space="preserve"> </w:t>
      </w:r>
      <w:r>
        <w:rPr>
          <w:rFonts w:ascii="Arial" w:cs="Arial" w:eastAsia="Arial" w:hAnsi="Arial"/>
          <w:sz w:val="12"/>
          <w:szCs w:val="12"/>
          <w:color w:val="auto"/>
        </w:rPr>
        <w:t>below.</w:t>
      </w:r>
    </w:p>
    <w:p>
      <w:pPr>
        <w:spacing w:after="0" w:line="116" w:lineRule="exact"/>
        <w:rPr>
          <w:rFonts w:ascii="Arial" w:cs="Arial" w:eastAsia="Arial" w:hAnsi="Arial"/>
          <w:sz w:val="12"/>
          <w:szCs w:val="12"/>
          <w:color w:val="auto"/>
        </w:rPr>
      </w:pPr>
    </w:p>
    <w:p>
      <w:pPr>
        <w:ind w:left="720" w:right="140" w:hanging="368"/>
        <w:spacing w:after="0" w:line="259" w:lineRule="auto"/>
        <w:tabs>
          <w:tab w:leader="none" w:pos="72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The expected term represents the period that the stock-based awards are expected to be outstanding. The expected term of stock options granted has been determined using the simplified</w:t>
      </w:r>
      <w:r>
        <w:rPr>
          <w:rFonts w:ascii="Arial" w:cs="Arial" w:eastAsia="Arial" w:hAnsi="Arial"/>
          <w:sz w:val="12"/>
          <w:szCs w:val="12"/>
          <w:i w:val="1"/>
          <w:iCs w:val="1"/>
          <w:color w:val="auto"/>
        </w:rPr>
        <w:t xml:space="preserve"> </w:t>
      </w:r>
      <w:r>
        <w:rPr>
          <w:rFonts w:ascii="Arial" w:cs="Arial" w:eastAsia="Arial" w:hAnsi="Arial"/>
          <w:sz w:val="12"/>
          <w:szCs w:val="12"/>
          <w:color w:val="auto"/>
        </w:rPr>
        <w:t>method, which uses the midpoint between the vesting date and the contractual term.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ind w:left="720" w:hanging="368"/>
        <w:spacing w:after="0" w:line="259" w:lineRule="auto"/>
        <w:tabs>
          <w:tab w:leader="none" w:pos="72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is based on the U.S. Treasury yield curve in effect at the date of grant for zero-coupon U.S. Treasury constant maturity notes with terms approximately equal</w:t>
      </w:r>
      <w:r>
        <w:rPr>
          <w:rFonts w:ascii="Arial" w:cs="Arial" w:eastAsia="Arial" w:hAnsi="Arial"/>
          <w:sz w:val="12"/>
          <w:szCs w:val="12"/>
          <w:i w:val="1"/>
          <w:iCs w:val="1"/>
          <w:color w:val="auto"/>
        </w:rPr>
        <w:t xml:space="preserve"> </w:t>
      </w:r>
      <w:r>
        <w:rPr>
          <w:rFonts w:ascii="Arial" w:cs="Arial" w:eastAsia="Arial" w:hAnsi="Arial"/>
          <w:sz w:val="12"/>
          <w:szCs w:val="12"/>
          <w:color w:val="auto"/>
        </w:rPr>
        <w:t>to the stock-based award's expected term.</w:t>
      </w:r>
    </w:p>
    <w:p>
      <w:pPr>
        <w:spacing w:after="0" w:line="116" w:lineRule="exact"/>
        <w:rPr>
          <w:rFonts w:ascii="Arial" w:cs="Arial" w:eastAsia="Arial" w:hAnsi="Arial"/>
          <w:sz w:val="12"/>
          <w:szCs w:val="12"/>
          <w:color w:val="auto"/>
        </w:rPr>
      </w:pPr>
    </w:p>
    <w:p>
      <w:pPr>
        <w:ind w:left="720" w:right="300" w:hanging="368"/>
        <w:spacing w:after="0" w:line="259" w:lineRule="auto"/>
        <w:tabs>
          <w:tab w:leader="none" w:pos="72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Because we do not have a trading history of our common stock, the expected volatility was derived from the average historical stock volatilities of several public companies within our</w:t>
      </w:r>
      <w:r>
        <w:rPr>
          <w:rFonts w:ascii="Arial" w:cs="Arial" w:eastAsia="Arial" w:hAnsi="Arial"/>
          <w:sz w:val="12"/>
          <w:szCs w:val="12"/>
          <w:i w:val="1"/>
          <w:iCs w:val="1"/>
          <w:color w:val="auto"/>
        </w:rPr>
        <w:t xml:space="preserve"> </w:t>
      </w:r>
      <w:r>
        <w:rPr>
          <w:rFonts w:ascii="Arial" w:cs="Arial" w:eastAsia="Arial" w:hAnsi="Arial"/>
          <w:sz w:val="12"/>
          <w:szCs w:val="12"/>
          <w:color w:val="auto"/>
        </w:rPr>
        <w:t>industry that we consider to be comparable to our business over a period equivalent to the expected term of the stock-based awards.</w:t>
      </w:r>
    </w:p>
    <w:p>
      <w:pPr>
        <w:spacing w:after="0" w:line="107" w:lineRule="exact"/>
        <w:rPr>
          <w:rFonts w:ascii="Arial" w:cs="Arial" w:eastAsia="Arial" w:hAnsi="Arial"/>
          <w:sz w:val="12"/>
          <w:szCs w:val="12"/>
          <w:color w:val="auto"/>
        </w:rPr>
      </w:pPr>
    </w:p>
    <w:p>
      <w:pPr>
        <w:ind w:left="720" w:hanging="368"/>
        <w:spacing w:after="0"/>
        <w:tabs>
          <w:tab w:leader="none" w:pos="72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Dividend Rate. </w:t>
      </w:r>
      <w:r>
        <w:rPr>
          <w:rFonts w:ascii="Arial" w:cs="Arial" w:eastAsia="Arial" w:hAnsi="Arial"/>
          <w:sz w:val="12"/>
          <w:szCs w:val="12"/>
          <w:color w:val="auto"/>
        </w:rPr>
        <w:t>The expected dividend is zero as we have not paid and do not anticipate paying any dividends in the foreseeable future.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If any of the assumptions used in the Black-Scholes model change significantly, stock-based compensation for future awards may differ materially compared with the awards granted previously.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weighted-average fair values of options granted during the years ended December 31, 2015 and 2016 were $0.46 and $0.90, respectively. No options were granted during the six months ended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assumptions utilized to determine the fair value of options granted are presented in the following table:</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714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r>
      <w:tr>
        <w:trPr>
          <w:trHeight w:val="133"/>
        </w:trPr>
        <w:tc>
          <w:tcPr>
            <w:tcW w:w="7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dividend yield</w:t>
            </w:r>
          </w:p>
        </w:tc>
        <w:tc>
          <w:tcPr>
            <w:tcW w:w="4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2"/>
                <w:szCs w:val="12"/>
                <w:color w:val="auto"/>
              </w:rPr>
              <w:t>Expected volatility</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w:t>
            </w:r>
          </w:p>
        </w:tc>
        <w:tc>
          <w:tcPr>
            <w:tcW w:w="4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49%</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Risk-free interest rate</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1.73%</w:t>
            </w: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1.57%</w:t>
            </w:r>
          </w:p>
        </w:tc>
      </w:tr>
      <w:tr>
        <w:trPr>
          <w:trHeight w:val="142"/>
        </w:trPr>
        <w:tc>
          <w:tcPr>
            <w:tcW w:w="7140" w:type="dxa"/>
            <w:vAlign w:val="bottom"/>
          </w:tcPr>
          <w:p>
            <w:pPr>
              <w:spacing w:after="0"/>
              <w:rPr>
                <w:sz w:val="20"/>
                <w:szCs w:val="20"/>
                <w:color w:val="auto"/>
              </w:rPr>
            </w:pPr>
            <w:r>
              <w:rPr>
                <w:rFonts w:ascii="Arial" w:cs="Arial" w:eastAsia="Arial" w:hAnsi="Arial"/>
                <w:sz w:val="12"/>
                <w:szCs w:val="12"/>
                <w:color w:val="auto"/>
              </w:rPr>
              <w:t>Expected term (in years)</w:t>
            </w:r>
          </w:p>
        </w:tc>
        <w:tc>
          <w:tcPr>
            <w:tcW w:w="340" w:type="dxa"/>
            <w:vAlign w:val="bottom"/>
          </w:tcPr>
          <w:p>
            <w:pPr>
              <w:jc w:val="right"/>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6.07</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Valuations</w:t>
      </w:r>
    </w:p>
    <w:p>
      <w:pPr>
        <w:spacing w:after="0" w:line="155" w:lineRule="exact"/>
        <w:rPr>
          <w:sz w:val="20"/>
          <w:szCs w:val="20"/>
          <w:color w:val="auto"/>
        </w:rPr>
      </w:pPr>
    </w:p>
    <w:p>
      <w:pPr>
        <w:ind w:right="140" w:firstLine="323"/>
        <w:spacing w:after="0" w:line="236" w:lineRule="auto"/>
        <w:rPr>
          <w:sz w:val="20"/>
          <w:szCs w:val="20"/>
          <w:color w:val="auto"/>
        </w:rPr>
      </w:pPr>
      <w:r>
        <w:rPr>
          <w:rFonts w:ascii="Arial" w:cs="Arial" w:eastAsia="Arial" w:hAnsi="Arial"/>
          <w:sz w:val="12"/>
          <w:szCs w:val="12"/>
          <w:color w:val="auto"/>
        </w:rPr>
        <w:t xml:space="preserve">The fair value of units and shares of our common stock has historically been determined by our board of directors, with input from management, based upon information available at the time of grant. Once a public trading market for our Class A common stock has been established following the closing of this offering, it will no longer be necessary for our board of directors to estimate the fair market value of our common stock in connection with our accounting for granted equity awards. Given the absence of a public market for our Class A common stock prior to this offering and in accordance with the American Institute of Certified Public Accountants Practice Aid, </w:t>
      </w:r>
      <w:r>
        <w:rPr>
          <w:rFonts w:ascii="Arial" w:cs="Arial" w:eastAsia="Arial" w:hAnsi="Arial"/>
          <w:sz w:val="12"/>
          <w:szCs w:val="12"/>
          <w:i w:val="1"/>
          <w:iCs w:val="1"/>
          <w:color w:val="auto"/>
        </w:rPr>
        <w:t>Valuation of Privately Held Company Equity Securities Issued as Compensation</w:t>
      </w:r>
      <w:r>
        <w:rPr>
          <w:rFonts w:ascii="Arial" w:cs="Arial" w:eastAsia="Arial" w:hAnsi="Arial"/>
          <w:sz w:val="12"/>
          <w:szCs w:val="12"/>
          <w:color w:val="auto"/>
        </w:rPr>
        <w:t>, also known as the Practice Aid, our board of directors has exercised reasonable judgment and considered a number of objective and subjective factors to determine the best estimate of the fair value of our common stock including:</w:t>
      </w:r>
    </w:p>
    <w:p>
      <w:pPr>
        <w:spacing w:after="0" w:line="141" w:lineRule="exact"/>
        <w:rPr>
          <w:sz w:val="20"/>
          <w:szCs w:val="20"/>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contemporaneous third-party valuations of our common stock;</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prices, rights, preferences and privileges of preferred stock relative to the common stock;</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market performance of comparable publicly traded peer companies;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prices of convertible preferred stock sold by us to third-party investors;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our operating and financial performance;</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lack of marketability of our common stock;</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U.S. and global economic and capital market conditions and outlook;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right="1040" w:firstLine="32"/>
        <w:spacing w:after="0" w:line="485" w:lineRule="auto"/>
        <w:tabs>
          <w:tab w:leader="none" w:pos="715"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likelihood of achieving a liquidity event for the shares of common stock underlying stock options and RSUs, such as an IPO or sale of our company, given prevailing market conditions. We granted stock options and RSUs with the following exercise prices and grant date fair values, respectively, between January 1, 2016 and the date of this prospectus:</w:t>
      </w:r>
    </w:p>
    <w:tbl>
      <w:tblPr>
        <w:tblLayout w:type="fixed"/>
        <w:tblInd w:w="1140" w:type="dxa"/>
        <w:tblCellMar>
          <w:top w:w="0" w:type="dxa"/>
          <w:left w:w="0" w:type="dxa"/>
          <w:bottom w:w="0" w:type="dxa"/>
          <w:right w:w="0" w:type="dxa"/>
        </w:tblCellMar>
      </w:tblPr>
      <w:tr>
        <w:trPr>
          <w:trHeight w:val="136"/>
        </w:trPr>
        <w:tc>
          <w:tcPr>
            <w:tcW w:w="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left="2"/>
              <w:spacing w:after="0" w:line="136" w:lineRule="exact"/>
              <w:rPr>
                <w:sz w:val="20"/>
                <w:szCs w:val="20"/>
                <w:color w:val="auto"/>
              </w:rPr>
            </w:pPr>
            <w:r>
              <w:rPr>
                <w:rFonts w:ascii="Arial" w:cs="Arial" w:eastAsia="Arial" w:hAnsi="Arial"/>
                <w:sz w:val="12"/>
                <w:szCs w:val="12"/>
                <w:color w:val="auto"/>
                <w:w w:val="96"/>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auto"/>
                <w:w w:val="99"/>
              </w:rPr>
              <w:t>Exercise</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97"/>
              </w:rPr>
              <w:t>Aggregate</w:t>
            </w:r>
          </w:p>
        </w:tc>
      </w:tr>
      <w:tr>
        <w:trPr>
          <w:trHeight w:val="135"/>
        </w:trPr>
        <w:tc>
          <w:tcPr>
            <w:tcW w:w="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color w:val="auto"/>
                <w:w w:val="93"/>
              </w:rPr>
              <w:t>Award</w:t>
            </w:r>
          </w:p>
        </w:tc>
        <w:tc>
          <w:tcPr>
            <w:tcW w:w="120" w:type="dxa"/>
            <w:vAlign w:val="bottom"/>
          </w:tcPr>
          <w:p>
            <w:pPr>
              <w:spacing w:after="0"/>
              <w:rPr>
                <w:sz w:val="11"/>
                <w:szCs w:val="11"/>
                <w:color w:val="auto"/>
              </w:rPr>
            </w:pPr>
          </w:p>
        </w:tc>
        <w:tc>
          <w:tcPr>
            <w:tcW w:w="640" w:type="dxa"/>
            <w:vAlign w:val="bottom"/>
          </w:tcPr>
          <w:p>
            <w:pPr>
              <w:jc w:val="center"/>
              <w:ind w:left="2"/>
              <w:spacing w:after="0" w:line="135" w:lineRule="exact"/>
              <w:rPr>
                <w:sz w:val="20"/>
                <w:szCs w:val="20"/>
                <w:color w:val="auto"/>
              </w:rPr>
            </w:pPr>
            <w:r>
              <w:rPr>
                <w:rFonts w:ascii="Arial" w:cs="Arial" w:eastAsia="Arial" w:hAnsi="Arial"/>
                <w:sz w:val="12"/>
                <w:szCs w:val="12"/>
                <w:color w:val="auto"/>
                <w:w w:val="94"/>
              </w:rPr>
              <w:t>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4"/>
              </w:rPr>
              <w:t>Price</w:t>
            </w:r>
          </w:p>
        </w:tc>
        <w:tc>
          <w:tcPr>
            <w:tcW w:w="120" w:type="dxa"/>
            <w:vAlign w:val="bottom"/>
          </w:tcPr>
          <w:p>
            <w:pPr>
              <w:spacing w:after="0"/>
              <w:rPr>
                <w:sz w:val="11"/>
                <w:szCs w:val="11"/>
                <w:color w:val="auto"/>
              </w:rPr>
            </w:pPr>
          </w:p>
        </w:tc>
        <w:tc>
          <w:tcPr>
            <w:tcW w:w="1320" w:type="dxa"/>
            <w:vAlign w:val="bottom"/>
          </w:tcPr>
          <w:p>
            <w:pPr>
              <w:jc w:val="center"/>
              <w:ind w:left="343"/>
              <w:spacing w:after="0" w:line="135" w:lineRule="exact"/>
              <w:rPr>
                <w:sz w:val="20"/>
                <w:szCs w:val="20"/>
                <w:color w:val="auto"/>
              </w:rPr>
            </w:pPr>
            <w:r>
              <w:rPr>
                <w:rFonts w:ascii="Arial" w:cs="Arial" w:eastAsia="Arial" w:hAnsi="Arial"/>
                <w:sz w:val="12"/>
                <w:szCs w:val="12"/>
                <w:color w:val="auto"/>
                <w:w w:val="96"/>
              </w:rPr>
              <w:t>Per Share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3"/>
              </w:rPr>
              <w:t>Award</w:t>
            </w:r>
          </w:p>
        </w:tc>
      </w:tr>
      <w:tr>
        <w:trPr>
          <w:trHeight w:val="160"/>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Month and Year of Award Agreement</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Type</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center"/>
              <w:ind w:left="2"/>
              <w:spacing w:after="0" w:line="160" w:lineRule="exact"/>
              <w:rPr>
                <w:sz w:val="20"/>
                <w:szCs w:val="20"/>
                <w:color w:val="auto"/>
              </w:rPr>
            </w:pPr>
            <w:r>
              <w:rPr>
                <w:rFonts w:ascii="Arial" w:cs="Arial" w:eastAsia="Arial" w:hAnsi="Arial"/>
                <w:sz w:val="11"/>
                <w:szCs w:val="11"/>
                <w:color w:val="auto"/>
                <w:w w:val="99"/>
              </w:rPr>
              <w:t>Granted</w:t>
            </w:r>
            <w:r>
              <w:rPr>
                <w:rFonts w:ascii="Arial" w:cs="Arial" w:eastAsia="Arial" w:hAnsi="Arial"/>
                <w:sz w:val="18"/>
                <w:szCs w:val="18"/>
                <w:color w:val="auto"/>
                <w:w w:val="99"/>
                <w:vertAlign w:val="superscript"/>
              </w:rPr>
              <w:t>(1)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Per Share</w:t>
            </w:r>
          </w:p>
        </w:tc>
        <w:tc>
          <w:tcPr>
            <w:tcW w:w="120" w:type="dxa"/>
            <w:vAlign w:val="bottom"/>
          </w:tcPr>
          <w:p>
            <w:pPr>
              <w:spacing w:after="0"/>
              <w:rPr>
                <w:sz w:val="13"/>
                <w:szCs w:val="13"/>
                <w:color w:val="auto"/>
              </w:rPr>
            </w:pPr>
          </w:p>
        </w:tc>
        <w:tc>
          <w:tcPr>
            <w:tcW w:w="1320" w:type="dxa"/>
            <w:vAlign w:val="bottom"/>
            <w:tcBorders>
              <w:bottom w:val="single" w:sz="8" w:color="auto"/>
            </w:tcBorders>
          </w:tcPr>
          <w:p>
            <w:pPr>
              <w:jc w:val="center"/>
              <w:ind w:left="343"/>
              <w:spacing w:after="0" w:line="160" w:lineRule="exact"/>
              <w:rPr>
                <w:sz w:val="20"/>
                <w:szCs w:val="20"/>
                <w:color w:val="auto"/>
              </w:rPr>
            </w:pPr>
            <w:r>
              <w:rPr>
                <w:rFonts w:ascii="Arial" w:cs="Arial" w:eastAsia="Arial" w:hAnsi="Arial"/>
                <w:sz w:val="11"/>
                <w:szCs w:val="11"/>
                <w:color w:val="auto"/>
                <w:w w:val="98"/>
              </w:rPr>
              <w:t>Fair Value</w:t>
            </w:r>
            <w:r>
              <w:rPr>
                <w:rFonts w:ascii="Arial" w:cs="Arial" w:eastAsia="Arial" w:hAnsi="Arial"/>
                <w:sz w:val="18"/>
                <w:szCs w:val="18"/>
                <w:color w:val="auto"/>
                <w:w w:val="98"/>
                <w:vertAlign w:val="superscript"/>
              </w:rPr>
              <w:t>(2)</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Fair Value</w:t>
            </w:r>
          </w:p>
        </w:tc>
        <w:tc>
          <w:tcPr>
            <w:tcW w:w="120" w:type="dxa"/>
            <w:vAlign w:val="bottom"/>
          </w:tcPr>
          <w:p>
            <w:pPr>
              <w:spacing w:after="0"/>
              <w:rPr>
                <w:sz w:val="13"/>
                <w:szCs w:val="13"/>
                <w:color w:val="auto"/>
              </w:rPr>
            </w:pPr>
          </w:p>
        </w:tc>
      </w:tr>
      <w:tr>
        <w:trPr>
          <w:trHeight w:val="142"/>
        </w:trPr>
        <w:tc>
          <w:tcPr>
            <w:tcW w:w="7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6"/>
          </w:tcPr>
          <w:p>
            <w:pPr>
              <w:jc w:val="center"/>
              <w:ind w:left="242"/>
              <w:spacing w:after="0"/>
              <w:rPr>
                <w:sz w:val="20"/>
                <w:szCs w:val="20"/>
                <w:color w:val="auto"/>
              </w:rPr>
            </w:pPr>
            <w:r>
              <w:rPr>
                <w:rFonts w:ascii="Arial" w:cs="Arial" w:eastAsia="Arial" w:hAnsi="Arial"/>
                <w:sz w:val="12"/>
                <w:szCs w:val="12"/>
                <w:color w:val="auto"/>
                <w:w w:val="97"/>
              </w:rPr>
              <w:t>(in thousands, except share and per share data)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January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w w:val="99"/>
              </w:rPr>
              <w:t>Stock option</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278,400</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6.77</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889</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February 2016</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264,000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843</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March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w w:val="99"/>
              </w:rPr>
              <w:t>Stock option</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12,600</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6.77</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April 2016</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w w:val="99"/>
              </w:rPr>
              <w:t>Stock option</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325,200</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6.77</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1,124</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May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w w:val="99"/>
              </w:rPr>
              <w:t>Stock option</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33,600</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6.77</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107</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June 2016</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w w:val="99"/>
              </w:rPr>
              <w:t>Stock option</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12,600</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6.77</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July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303,108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967</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August 2016</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3.19</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October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423,300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4.72</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1,996</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November 2016</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40,800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4.72</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192</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December 2016</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4.72</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1"/>
                <w:szCs w:val="1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2"/>
                <w:szCs w:val="12"/>
                <w:color w:val="auto"/>
              </w:rPr>
              <w:t>January 2017</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397,200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5.54</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2,200</w:t>
            </w:r>
          </w:p>
        </w:tc>
        <w:tc>
          <w:tcPr>
            <w:tcW w:w="120" w:type="dxa"/>
            <w:vAlign w:val="bottom"/>
          </w:tcPr>
          <w:p>
            <w:pPr>
              <w:spacing w:after="0"/>
              <w:rPr>
                <w:sz w:val="11"/>
                <w:szCs w:val="1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May 2017</w:t>
            </w:r>
          </w:p>
        </w:tc>
        <w:tc>
          <w:tcPr>
            <w:tcW w:w="8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RSU</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451,434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center"/>
              <w:ind w:right="1083"/>
              <w:spacing w:after="0" w:line="135" w:lineRule="exact"/>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6.89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3,109</w:t>
            </w:r>
          </w:p>
        </w:tc>
        <w:tc>
          <w:tcPr>
            <w:tcW w:w="120" w:type="dxa"/>
            <w:vAlign w:val="bottom"/>
            <w:shd w:val="clear" w:color="auto" w:fill="CCEEFF"/>
          </w:tcPr>
          <w:p>
            <w:pPr>
              <w:spacing w:after="0"/>
              <w:rPr>
                <w:sz w:val="11"/>
                <w:szCs w:val="11"/>
                <w:color w:val="auto"/>
              </w:rPr>
            </w:pPr>
          </w:p>
        </w:tc>
      </w:tr>
      <w:tr>
        <w:trPr>
          <w:trHeight w:val="72"/>
        </w:trPr>
        <w:tc>
          <w:tcPr>
            <w:tcW w:w="740" w:type="dxa"/>
            <w:vAlign w:val="bottom"/>
            <w:tcBorders>
              <w:bottom w:val="single" w:sz="8" w:color="auto"/>
            </w:tcBorders>
          </w:tcPr>
          <w:p>
            <w:pPr>
              <w:spacing w:after="0"/>
              <w:rPr>
                <w:sz w:val="6"/>
                <w:szCs w:val="6"/>
                <w:color w:val="auto"/>
              </w:rPr>
            </w:pPr>
          </w:p>
        </w:tc>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13" w:lineRule="exact"/>
        <w:rPr>
          <w:sz w:val="20"/>
          <w:szCs w:val="20"/>
          <w:color w:val="auto"/>
        </w:rPr>
      </w:pPr>
    </w:p>
    <w:p>
      <w:pPr>
        <w:ind w:left="1500" w:hanging="360"/>
        <w:spacing w:after="0"/>
        <w:tabs>
          <w:tab w:leader="none" w:pos="1500" w:val="left"/>
        </w:tabs>
        <w:numPr>
          <w:ilvl w:val="0"/>
          <w:numId w:val="43"/>
        </w:numPr>
        <w:rPr>
          <w:rFonts w:ascii="Arial" w:cs="Arial" w:eastAsia="Arial" w:hAnsi="Arial"/>
          <w:sz w:val="13"/>
          <w:szCs w:val="13"/>
          <w:color w:val="auto"/>
          <w:vertAlign w:val="superscript"/>
        </w:rPr>
      </w:pPr>
      <w:r>
        <w:rPr>
          <w:rFonts w:ascii="Arial" w:cs="Arial" w:eastAsia="Arial" w:hAnsi="Arial"/>
          <w:sz w:val="9"/>
          <w:szCs w:val="9"/>
          <w:color w:val="auto"/>
        </w:rPr>
        <w:t>One third of which number of shares of common stock subject to the award are shares of Class A common stock and two thirds of which number of shares of common stock subject to the award are shares of Class B common stock.</w:t>
      </w:r>
    </w:p>
    <w:p>
      <w:pPr>
        <w:spacing w:after="0" w:line="101" w:lineRule="exact"/>
        <w:rPr>
          <w:rFonts w:ascii="Arial" w:cs="Arial" w:eastAsia="Arial" w:hAnsi="Arial"/>
          <w:sz w:val="13"/>
          <w:szCs w:val="13"/>
          <w:color w:val="auto"/>
          <w:vertAlign w:val="superscript"/>
        </w:rPr>
      </w:pPr>
    </w:p>
    <w:p>
      <w:pPr>
        <w:ind w:left="1500" w:hanging="360"/>
        <w:spacing w:after="0" w:line="203" w:lineRule="auto"/>
        <w:tabs>
          <w:tab w:leader="none" w:pos="1500" w:val="left"/>
        </w:tabs>
        <w:numPr>
          <w:ilvl w:val="0"/>
          <w:numId w:val="43"/>
        </w:numPr>
        <w:rPr>
          <w:rFonts w:ascii="Arial" w:cs="Arial" w:eastAsia="Arial" w:hAnsi="Arial"/>
          <w:sz w:val="14"/>
          <w:szCs w:val="14"/>
          <w:color w:val="auto"/>
          <w:vertAlign w:val="superscript"/>
        </w:rPr>
      </w:pPr>
      <w:r>
        <w:rPr>
          <w:rFonts w:ascii="Arial" w:cs="Arial" w:eastAsia="Arial" w:hAnsi="Arial"/>
          <w:sz w:val="10"/>
          <w:szCs w:val="10"/>
          <w:color w:val="auto"/>
        </w:rPr>
        <w:t>The per share fair value represents the fair value of one share of our common stock on the date of grant, as determined by our board of directors, after taking into account our most recently available contemporaneous valuations of our common stock as well as additional factors that may have changed since the date of such contemporaneous valuation through the date of grant. The board performed such valuations on the following dates and arrived at the following per share fair values:</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7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Date of Valuation</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jc w:val="right"/>
              <w:ind w:right="1492"/>
              <w:spacing w:after="0"/>
              <w:rPr>
                <w:sz w:val="20"/>
                <w:szCs w:val="20"/>
                <w:color w:val="auto"/>
              </w:rPr>
            </w:pPr>
            <w:r>
              <w:rPr>
                <w:rFonts w:ascii="Arial" w:cs="Arial" w:eastAsia="Arial" w:hAnsi="Arial"/>
                <w:sz w:val="10"/>
                <w:szCs w:val="10"/>
                <w:color w:val="auto"/>
              </w:rPr>
              <w:t>Per Share Fair Value</w:t>
            </w:r>
          </w:p>
        </w:tc>
        <w:tc>
          <w:tcPr>
            <w:tcW w:w="120" w:type="dxa"/>
            <w:vAlign w:val="bottom"/>
          </w:tcPr>
          <w:p>
            <w:pPr>
              <w:spacing w:after="0"/>
              <w:rPr>
                <w:sz w:val="10"/>
                <w:szCs w:val="10"/>
                <w:color w:val="auto"/>
              </w:rPr>
            </w:pPr>
          </w:p>
        </w:tc>
      </w:tr>
      <w:tr>
        <w:trPr>
          <w:trHeight w:val="106"/>
        </w:trPr>
        <w:tc>
          <w:tcPr>
            <w:tcW w:w="37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December 31, 2015</w:t>
            </w:r>
          </w:p>
        </w:tc>
        <w:tc>
          <w:tcPr>
            <w:tcW w:w="920" w:type="dxa"/>
            <w:vAlign w:val="bottom"/>
            <w:gridSpan w:val="2"/>
            <w:shd w:val="clear" w:color="auto" w:fill="CCEEFF"/>
          </w:tcPr>
          <w:p>
            <w:pPr>
              <w:jc w:val="right"/>
              <w:ind w:right="760"/>
              <w:spacing w:after="0" w:line="106" w:lineRule="exact"/>
              <w:rPr>
                <w:sz w:val="20"/>
                <w:szCs w:val="20"/>
                <w:color w:val="auto"/>
              </w:rPr>
            </w:pPr>
            <w:r>
              <w:rPr>
                <w:rFonts w:ascii="Arial" w:cs="Arial" w:eastAsia="Arial" w:hAnsi="Arial"/>
                <w:sz w:val="10"/>
                <w:szCs w:val="10"/>
                <w:color w:val="auto"/>
              </w:rPr>
              <w:t>$</w:t>
            </w:r>
          </w:p>
        </w:tc>
        <w:tc>
          <w:tcPr>
            <w:tcW w:w="32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3.19</w:t>
            </w:r>
          </w:p>
        </w:tc>
        <w:tc>
          <w:tcPr>
            <w:tcW w:w="120" w:type="dxa"/>
            <w:vAlign w:val="bottom"/>
            <w:shd w:val="clear" w:color="auto" w:fill="CCEEFF"/>
          </w:tcPr>
          <w:p>
            <w:pPr>
              <w:spacing w:after="0"/>
              <w:rPr>
                <w:sz w:val="9"/>
                <w:szCs w:val="9"/>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August 23, 2016</w:t>
            </w:r>
          </w:p>
        </w:tc>
        <w:tc>
          <w:tcPr>
            <w:tcW w:w="920" w:type="dxa"/>
            <w:vAlign w:val="bottom"/>
            <w:gridSpan w:val="2"/>
          </w:tcPr>
          <w:p>
            <w:pPr>
              <w:jc w:val="right"/>
              <w:ind w:right="760"/>
              <w:spacing w:after="0" w:line="108" w:lineRule="exact"/>
              <w:rPr>
                <w:sz w:val="20"/>
                <w:szCs w:val="20"/>
                <w:color w:val="auto"/>
              </w:rPr>
            </w:pPr>
            <w:r>
              <w:rPr>
                <w:rFonts w:ascii="Arial" w:cs="Arial" w:eastAsia="Arial" w:hAnsi="Arial"/>
                <w:sz w:val="10"/>
                <w:szCs w:val="10"/>
                <w:color w:val="auto"/>
              </w:rPr>
              <w:t>$</w:t>
            </w:r>
          </w:p>
        </w:tc>
        <w:tc>
          <w:tcPr>
            <w:tcW w:w="3220" w:type="dxa"/>
            <w:vAlign w:val="bottom"/>
          </w:tcPr>
          <w:p>
            <w:pPr>
              <w:jc w:val="right"/>
              <w:spacing w:after="0" w:line="108" w:lineRule="exact"/>
              <w:rPr>
                <w:sz w:val="20"/>
                <w:szCs w:val="20"/>
                <w:color w:val="auto"/>
              </w:rPr>
            </w:pPr>
            <w:r>
              <w:rPr>
                <w:rFonts w:ascii="Arial" w:cs="Arial" w:eastAsia="Arial" w:hAnsi="Arial"/>
                <w:sz w:val="10"/>
                <w:szCs w:val="10"/>
                <w:color w:val="auto"/>
              </w:rPr>
              <w:t>4.72</w:t>
            </w:r>
          </w:p>
        </w:tc>
        <w:tc>
          <w:tcPr>
            <w:tcW w:w="120" w:type="dxa"/>
            <w:vAlign w:val="bottom"/>
          </w:tcPr>
          <w:p>
            <w:pPr>
              <w:spacing w:after="0"/>
              <w:rPr>
                <w:sz w:val="9"/>
                <w:szCs w:val="9"/>
                <w:color w:val="auto"/>
              </w:rPr>
            </w:pPr>
          </w:p>
        </w:tc>
      </w:tr>
      <w:tr>
        <w:trPr>
          <w:trHeight w:val="108"/>
        </w:trPr>
        <w:tc>
          <w:tcPr>
            <w:tcW w:w="37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December 31, 2016</w:t>
            </w:r>
          </w:p>
        </w:tc>
        <w:tc>
          <w:tcPr>
            <w:tcW w:w="920" w:type="dxa"/>
            <w:vAlign w:val="bottom"/>
            <w:gridSpan w:val="2"/>
            <w:shd w:val="clear" w:color="auto" w:fill="CCEEFF"/>
          </w:tcPr>
          <w:p>
            <w:pPr>
              <w:jc w:val="right"/>
              <w:ind w:right="760"/>
              <w:spacing w:after="0" w:line="108" w:lineRule="exact"/>
              <w:rPr>
                <w:sz w:val="20"/>
                <w:szCs w:val="20"/>
                <w:color w:val="auto"/>
              </w:rPr>
            </w:pPr>
            <w:r>
              <w:rPr>
                <w:rFonts w:ascii="Arial" w:cs="Arial" w:eastAsia="Arial" w:hAnsi="Arial"/>
                <w:sz w:val="10"/>
                <w:szCs w:val="10"/>
                <w:color w:val="auto"/>
              </w:rPr>
              <w:t>$</w:t>
            </w:r>
          </w:p>
        </w:tc>
        <w:tc>
          <w:tcPr>
            <w:tcW w:w="32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5.54</w:t>
            </w:r>
          </w:p>
        </w:tc>
        <w:tc>
          <w:tcPr>
            <w:tcW w:w="120" w:type="dxa"/>
            <w:vAlign w:val="bottom"/>
            <w:shd w:val="clear" w:color="auto" w:fill="CCEEFF"/>
          </w:tcPr>
          <w:p>
            <w:pPr>
              <w:spacing w:after="0"/>
              <w:rPr>
                <w:sz w:val="9"/>
                <w:szCs w:val="9"/>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March 31, 2017</w:t>
            </w:r>
          </w:p>
        </w:tc>
        <w:tc>
          <w:tcPr>
            <w:tcW w:w="920" w:type="dxa"/>
            <w:vAlign w:val="bottom"/>
            <w:gridSpan w:val="2"/>
          </w:tcPr>
          <w:p>
            <w:pPr>
              <w:jc w:val="right"/>
              <w:ind w:right="760"/>
              <w:spacing w:after="0" w:line="108" w:lineRule="exact"/>
              <w:rPr>
                <w:sz w:val="20"/>
                <w:szCs w:val="20"/>
                <w:color w:val="auto"/>
              </w:rPr>
            </w:pPr>
            <w:r>
              <w:rPr>
                <w:rFonts w:ascii="Arial" w:cs="Arial" w:eastAsia="Arial" w:hAnsi="Arial"/>
                <w:sz w:val="10"/>
                <w:szCs w:val="10"/>
                <w:color w:val="auto"/>
              </w:rPr>
              <w:t>$</w:t>
            </w:r>
          </w:p>
        </w:tc>
        <w:tc>
          <w:tcPr>
            <w:tcW w:w="3220" w:type="dxa"/>
            <w:vAlign w:val="bottom"/>
          </w:tcPr>
          <w:p>
            <w:pPr>
              <w:jc w:val="right"/>
              <w:spacing w:after="0" w:line="108" w:lineRule="exact"/>
              <w:rPr>
                <w:sz w:val="20"/>
                <w:szCs w:val="20"/>
                <w:color w:val="auto"/>
              </w:rPr>
            </w:pPr>
            <w:r>
              <w:rPr>
                <w:rFonts w:ascii="Arial" w:cs="Arial" w:eastAsia="Arial" w:hAnsi="Arial"/>
                <w:sz w:val="10"/>
                <w:szCs w:val="10"/>
                <w:color w:val="auto"/>
              </w:rPr>
              <w:t>6.89</w:t>
            </w:r>
          </w:p>
        </w:tc>
        <w:tc>
          <w:tcPr>
            <w:tcW w:w="120" w:type="dxa"/>
            <w:vAlign w:val="bottom"/>
          </w:tcPr>
          <w:p>
            <w:pPr>
              <w:spacing w:after="0"/>
              <w:rPr>
                <w:sz w:val="9"/>
                <w:szCs w:val="9"/>
                <w:color w:val="auto"/>
              </w:rPr>
            </w:pPr>
          </w:p>
        </w:tc>
      </w:tr>
      <w:tr>
        <w:trPr>
          <w:trHeight w:val="108"/>
        </w:trPr>
        <w:tc>
          <w:tcPr>
            <w:tcW w:w="37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June 30, 2017</w:t>
            </w:r>
          </w:p>
        </w:tc>
        <w:tc>
          <w:tcPr>
            <w:tcW w:w="920" w:type="dxa"/>
            <w:vAlign w:val="bottom"/>
            <w:gridSpan w:val="2"/>
            <w:shd w:val="clear" w:color="auto" w:fill="CCEEFF"/>
          </w:tcPr>
          <w:p>
            <w:pPr>
              <w:jc w:val="right"/>
              <w:ind w:right="760"/>
              <w:spacing w:after="0" w:line="108" w:lineRule="exact"/>
              <w:rPr>
                <w:sz w:val="20"/>
                <w:szCs w:val="20"/>
                <w:color w:val="auto"/>
              </w:rPr>
            </w:pPr>
            <w:r>
              <w:rPr>
                <w:rFonts w:ascii="Arial" w:cs="Arial" w:eastAsia="Arial" w:hAnsi="Arial"/>
                <w:sz w:val="10"/>
                <w:szCs w:val="10"/>
                <w:color w:val="auto"/>
              </w:rPr>
              <w:t>$</w:t>
            </w:r>
          </w:p>
        </w:tc>
        <w:tc>
          <w:tcPr>
            <w:tcW w:w="32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11.48</w:t>
            </w:r>
          </w:p>
        </w:tc>
        <w:tc>
          <w:tcPr>
            <w:tcW w:w="120" w:type="dxa"/>
            <w:vAlign w:val="bottom"/>
            <w:shd w:val="clear" w:color="auto" w:fill="CCEEFF"/>
          </w:tcPr>
          <w:p>
            <w:pPr>
              <w:spacing w:after="0"/>
              <w:rPr>
                <w:sz w:val="9"/>
                <w:szCs w:val="9"/>
                <w:color w:val="auto"/>
              </w:rPr>
            </w:pPr>
          </w:p>
        </w:tc>
      </w:tr>
    </w:tbl>
    <w:p>
      <w:pPr>
        <w:spacing w:after="0" w:line="146" w:lineRule="exact"/>
        <w:rPr>
          <w:sz w:val="20"/>
          <w:szCs w:val="20"/>
          <w:color w:val="auto"/>
        </w:rPr>
      </w:pPr>
    </w:p>
    <w:p>
      <w:pPr>
        <w:ind w:right="140" w:firstLine="323"/>
        <w:spacing w:after="0" w:line="237" w:lineRule="auto"/>
        <w:rPr>
          <w:sz w:val="20"/>
          <w:szCs w:val="20"/>
          <w:color w:val="auto"/>
        </w:rPr>
      </w:pPr>
      <w:r>
        <w:rPr>
          <w:rFonts w:ascii="Arial" w:cs="Arial" w:eastAsia="Arial" w:hAnsi="Arial"/>
          <w:sz w:val="12"/>
          <w:szCs w:val="12"/>
          <w:color w:val="auto"/>
        </w:rPr>
        <w:t>The dates of our valuations have not always coincided with the dates of our stock option or RSU grants. In determining the fair value of the shares underlying options and RSUs set forth in the table above, we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performance metrics such as monthly revenue, AARSD, headcount and total active customers, our operating and financial performance and current business conditions.</w:t>
      </w:r>
    </w:p>
    <w:p>
      <w:pPr>
        <w:spacing w:after="0" w:line="139" w:lineRule="exact"/>
        <w:rPr>
          <w:sz w:val="20"/>
          <w:szCs w:val="20"/>
          <w:color w:val="auto"/>
        </w:rPr>
      </w:pPr>
    </w:p>
    <w:p>
      <w:pPr>
        <w:ind w:right="100" w:firstLine="323"/>
        <w:spacing w:after="0" w:line="239" w:lineRule="auto"/>
        <w:rPr>
          <w:sz w:val="20"/>
          <w:szCs w:val="20"/>
          <w:color w:val="auto"/>
        </w:rPr>
      </w:pPr>
      <w:r>
        <w:rPr>
          <w:rFonts w:ascii="Arial" w:cs="Arial" w:eastAsia="Arial" w:hAnsi="Arial"/>
          <w:sz w:val="12"/>
          <w:szCs w:val="12"/>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the related company valuations associated with such events, and the determinations of the appropriate valuation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1" w:right="27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60"/>
        <w:spacing w:after="0" w:line="239" w:lineRule="auto"/>
        <w:rPr>
          <w:sz w:val="20"/>
          <w:szCs w:val="20"/>
          <w:color w:val="auto"/>
        </w:rPr>
      </w:pPr>
      <w:r>
        <w:rPr>
          <w:rFonts w:ascii="Arial" w:cs="Arial" w:eastAsia="Arial" w:hAnsi="Arial"/>
          <w:sz w:val="12"/>
          <w:szCs w:val="12"/>
          <w:color w:val="auto"/>
        </w:rPr>
        <w:t>methods. If we had made different assumptions, our stock-based compensation expense, consolidated net (loss) income and consolidated net (loss) income per share attributable to common stockholders could have been significantly different.</w:t>
      </w:r>
    </w:p>
    <w:p>
      <w:pPr>
        <w:spacing w:after="0" w:line="139"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Our contemporaneous valuations were prepared in accordance with the guidelines in the Practice Aid, which prescribes several valuation approaches for determining the value of an enterprise, such as the cost, market and income approaches. These valuations estimated the fair value of a minority interest in our common stock, determined based on our total equity value, or TEV, using the market approach. The market approach considers multiples of financial metrics based on guideline public companies. These multiples are then applied to our financial metrics to derive a range of indicated values. In periods in which we had a significant financing event, the market approach considered this as a significant indicator in determining the fair value of our common stock, and our TEV was estimated using the Option Pricing Method Backsolve, or OPM Backsolve. This methodology utilizes the most recent negotiated arms-length transactions involving the sale or transfer of our stock or equity interests.</w:t>
      </w:r>
    </w:p>
    <w:p>
      <w:pPr>
        <w:spacing w:after="0" w:line="141" w:lineRule="exact"/>
        <w:rPr>
          <w:sz w:val="20"/>
          <w:szCs w:val="20"/>
          <w:color w:val="auto"/>
        </w:rPr>
      </w:pPr>
    </w:p>
    <w:p>
      <w:pPr>
        <w:ind w:right="120" w:firstLine="326"/>
        <w:spacing w:after="0" w:line="237" w:lineRule="auto"/>
        <w:rPr>
          <w:sz w:val="20"/>
          <w:szCs w:val="20"/>
          <w:color w:val="auto"/>
        </w:rPr>
      </w:pPr>
      <w:r>
        <w:rPr>
          <w:rFonts w:ascii="Arial" w:cs="Arial" w:eastAsia="Arial" w:hAnsi="Arial"/>
          <w:sz w:val="12"/>
          <w:szCs w:val="12"/>
          <w:color w:val="auto"/>
        </w:rPr>
        <w:t>Our indicated TEV was then allocated to each equity element of our capital structure (preferred stock, common stock, options, and RSUs). Estimates of the volatility of our common stock were based on available information on the volatility of common stock of comparable, publicly traded companies. We applied a discount for lack of marketability to our common stock based on studies of comparable company-specific adjustments along with consideration of a protective put option model.</w:t>
      </w:r>
    </w:p>
    <w:p>
      <w:pPr>
        <w:spacing w:after="0" w:line="141"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Beginning with the August 23, 2016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Status</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43"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 xml:space="preserve">In May 2014, the FASB issued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(ASU 2014-09), which modifies how all entities recognize revenue, and consolidates into one ASC Topic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 current guidance found in ASC Topic 605, and various other revenue accounting standards for specialized transactions and industries. ASU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w:t>
      </w:r>
    </w:p>
    <w:p>
      <w:pPr>
        <w:spacing w:after="0" w:line="128"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 xml:space="preserve">In August 2015, the FASB issued ASU 2015-14, </w:t>
      </w:r>
      <w:r>
        <w:rPr>
          <w:rFonts w:ascii="Arial" w:cs="Arial" w:eastAsia="Arial" w:hAnsi="Arial"/>
          <w:sz w:val="12"/>
          <w:szCs w:val="12"/>
          <w:i w:val="1"/>
          <w:iCs w:val="1"/>
          <w:color w:val="auto"/>
        </w:rPr>
        <w:t>Revenue from Contracts with Customers (Topic 606): Deferral of Effective Date</w:t>
      </w:r>
      <w:r>
        <w:rPr>
          <w:rFonts w:ascii="Arial" w:cs="Arial" w:eastAsia="Arial" w:hAnsi="Arial"/>
          <w:sz w:val="12"/>
          <w:szCs w:val="12"/>
          <w:color w:val="auto"/>
        </w:rPr>
        <w:t xml:space="preserve"> (ASU 2015-14), which defers the effective date of ASU 2014-09 by one year. ASU 2014-09 is now effective for public entities for annual reporting periods beginning after December 15, 2017, including interim periods within those annual reporting periods. We have developed an implementation plan to adopt this new guidance. As part of this plan, we are currently assessing the impact of the new guidance on our results of operations. Based on our procedures performed to date, nothing has come to our attention that would indicate that the adoption of ASU 2014-09 will have a material impact on our revenue recognition; however, further analysis is required and we will continue to evaluate this assessment throughout 2017. While we are still evaluating the impact that this guidance will have on our financial statements and related disclosures, our preliminary assessment is that there will be an impact relating to the accounting for costs to acquire a contract. Under ASU 2015-14, we will be required to capitalize certain costs, primarily commission expense to sales representatives, on our consolidated balance sheet and amortize such costs over the period of performance for the underlying customer contracts. We are still evaluating the impact of capitalizing costs to execute a contract.</w:t>
      </w:r>
    </w:p>
    <w:p>
      <w:pPr>
        <w:spacing w:after="0" w:line="140"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For non-public entities, the guidance is effective for annual periods beginning after December 15, 2018. Non-public entities are permitted to adopt the standard as early as annual reporting periods beginning after December 15, 2016 and interim periods therein. We currently expect to apply the modified retrospective method of adoption; however, we have not yet finalized our transition method, but expect to do so upon completion of further analysis.</w:t>
      </w:r>
    </w:p>
    <w:p>
      <w:pPr>
        <w:spacing w:after="0" w:line="129" w:lineRule="exact"/>
        <w:rPr>
          <w:sz w:val="20"/>
          <w:szCs w:val="20"/>
          <w:color w:val="auto"/>
        </w:rPr>
      </w:pPr>
    </w:p>
    <w:p>
      <w:pPr>
        <w:ind w:firstLine="326"/>
        <w:spacing w:after="0" w:line="241" w:lineRule="auto"/>
        <w:rPr>
          <w:sz w:val="20"/>
          <w:szCs w:val="20"/>
          <w:color w:val="auto"/>
        </w:rPr>
      </w:pPr>
      <w:r>
        <w:rPr>
          <w:rFonts w:ascii="Arial" w:cs="Arial" w:eastAsia="Arial" w:hAnsi="Arial"/>
          <w:sz w:val="12"/>
          <w:szCs w:val="12"/>
          <w:color w:val="auto"/>
        </w:rPr>
        <w:t>In February 2016, the FASB issued ASU 2016-02</w:t>
      </w:r>
      <w:r>
        <w:rPr>
          <w:rFonts w:ascii="Arial" w:cs="Arial" w:eastAsia="Arial" w:hAnsi="Arial"/>
          <w:sz w:val="12"/>
          <w:szCs w:val="12"/>
          <w:i w:val="1"/>
          <w:iCs w:val="1"/>
          <w:color w:val="auto"/>
        </w:rPr>
        <w:t>, Leases (Topic 842)</w:t>
      </w:r>
      <w:r>
        <w:rPr>
          <w:rFonts w:ascii="Arial" w:cs="Arial" w:eastAsia="Arial" w:hAnsi="Arial"/>
          <w:sz w:val="12"/>
          <w:szCs w:val="12"/>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public entities, the new standard is effective for interim and annual periods beginning on or after January 1, 2019, with early adoption permitted. For non-public entities, the new standard is effective for annual periods beginning after December 15, 2019, with early adoption permitted. We are evaluating the impact this new guidance may have on our consolidated financial statements.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In August 2016, the FASB issued ASU No. 2016-15, </w:t>
      </w:r>
      <w:r>
        <w:rPr>
          <w:rFonts w:ascii="Arial" w:cs="Arial" w:eastAsia="Arial" w:hAnsi="Arial"/>
          <w:sz w:val="12"/>
          <w:szCs w:val="12"/>
          <w:i w:val="1"/>
          <w:iCs w:val="1"/>
          <w:color w:val="auto"/>
        </w:rPr>
        <w:t>Statement of Cash Flows (Topic 230): Classification of Certain Cash Receipts and Cash Payments</w:t>
      </w:r>
      <w:r>
        <w:rPr>
          <w:rFonts w:ascii="Arial" w:cs="Arial" w:eastAsia="Arial" w:hAnsi="Arial"/>
          <w:sz w:val="12"/>
          <w:szCs w:val="12"/>
          <w:color w:val="auto"/>
        </w:rPr>
        <w:t xml:space="preserve"> (ASU 2016-15). ASU 2016-15 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0"/>
        <w:spacing w:after="0" w:line="269" w:lineRule="auto"/>
        <w:rPr>
          <w:sz w:val="20"/>
          <w:szCs w:val="20"/>
          <w:color w:val="auto"/>
        </w:rPr>
      </w:pPr>
      <w:r>
        <w:rPr>
          <w:rFonts w:ascii="Arial" w:cs="Arial" w:eastAsia="Arial" w:hAnsi="Arial"/>
          <w:sz w:val="11"/>
          <w:szCs w:val="11"/>
          <w:color w:val="auto"/>
        </w:rPr>
        <w:t>intended to add or clarify guidance on the classification of certain cash receipts and payments in the statement of cash flows and to eliminate the diversity in practice related to such classifications. For public entities, the guidance in ASU 2016-15 is required for annual reporting periods beginning after December 15, 2017, with early adoption permitted. For non-public entities, the guidance is effective for annual reporting periods beginning after December 15, 2018, with early adoption permitted. We are currently in the process of evaluating the impact and timing of adoption of the ASU 2016-15 on our consolidated financial statements.</w:t>
      </w:r>
    </w:p>
    <w:p>
      <w:pPr>
        <w:spacing w:after="0" w:line="112" w:lineRule="exact"/>
        <w:rPr>
          <w:sz w:val="20"/>
          <w:szCs w:val="20"/>
          <w:color w:val="auto"/>
        </w:rPr>
      </w:pPr>
    </w:p>
    <w:p>
      <w:pPr>
        <w:ind w:firstLine="326"/>
        <w:spacing w:after="0" w:line="243" w:lineRule="auto"/>
        <w:rPr>
          <w:sz w:val="20"/>
          <w:szCs w:val="20"/>
          <w:color w:val="auto"/>
        </w:rPr>
      </w:pPr>
      <w:r>
        <w:rPr>
          <w:rFonts w:ascii="Arial" w:cs="Arial" w:eastAsia="Arial" w:hAnsi="Arial"/>
          <w:sz w:val="12"/>
          <w:szCs w:val="12"/>
          <w:color w:val="auto"/>
        </w:rPr>
        <w:t xml:space="preserve">In November 2016, the FASB issued ASU No. 2016-18, </w:t>
      </w:r>
      <w:r>
        <w:rPr>
          <w:rFonts w:ascii="Arial" w:cs="Arial" w:eastAsia="Arial" w:hAnsi="Arial"/>
          <w:sz w:val="12"/>
          <w:szCs w:val="12"/>
          <w:i w:val="1"/>
          <w:iCs w:val="1"/>
          <w:color w:val="auto"/>
        </w:rPr>
        <w:t>Statement of Cash Flows (Topic 230): Restricted Cash</w:t>
      </w:r>
      <w:r>
        <w:rPr>
          <w:rFonts w:ascii="Arial" w:cs="Arial" w:eastAsia="Arial" w:hAnsi="Arial"/>
          <w:sz w:val="12"/>
          <w:szCs w:val="12"/>
          <w:color w:val="auto"/>
        </w:rPr>
        <w:t xml:space="preserve"> (ASU 2016-18). ASU 2016-18 requires that the statement of cash flows explain the change during the period in the total of cash, cash equivalents, and amounts generally described as restricted cash or restricted cash equivalents. Entities will also be required to reconcile such total to amounts on the balance sheet and disclose the nature of the restrictions. For non-public entities, the amendments in ASU 2016-18 are effective for annual periods beginning after December 15, 2018, with early adoption permitted. We adopted this standard effective January 1, 2016, and applied the guidance using a retrospective transition method to each period presented.</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2" w:right="29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BUSINESS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users with unbiased third-party validation on pricing and dealer reputation as well as other information that aids them in finding "Great Deals from Great Dealers." As of June 30, 2017, we had an active dealer network of over 40,000 dealers, and our selection of over 5.4 million car listings is the largest number of car listings available on any of the major U.S. online automotive marketplaces. In addition to the United States, we operate online marketplaces in Canada, the United Kingdom, and Germany.</w:t>
      </w:r>
    </w:p>
    <w:p>
      <w:pPr>
        <w:spacing w:after="0" w:line="141" w:lineRule="exact"/>
        <w:rPr>
          <w:sz w:val="20"/>
          <w:szCs w:val="20"/>
          <w:color w:val="auto"/>
        </w:rPr>
      </w:pPr>
    </w:p>
    <w:p>
      <w:pPr>
        <w:ind w:firstLine="319"/>
        <w:spacing w:after="0" w:line="236" w:lineRule="auto"/>
        <w:rPr>
          <w:sz w:val="20"/>
          <w:szCs w:val="20"/>
          <w:color w:val="auto"/>
        </w:rPr>
      </w:pPr>
      <w:r>
        <w:rPr>
          <w:rFonts w:ascii="Arial" w:cs="Arial" w:eastAsia="Arial" w:hAnsi="Arial"/>
          <w:sz w:val="12"/>
          <w:szCs w:val="12"/>
          <w:color w:val="auto"/>
        </w:rPr>
        <w:t>A core principle of our marketplace is unbiased transparency. For consumers considering used vehicles, we aggregate vehicle inventory from dealers and apply our proprietary analysis to generate a Deal Rating as either: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any given vehicle in a local market, and Dealer Rating, a measure of a dealer's reputation as determined by reviews of that dealer from our user community. By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40" w:lineRule="exact"/>
        <w:rPr>
          <w:sz w:val="20"/>
          <w:szCs w:val="20"/>
          <w:color w:val="auto"/>
        </w:rPr>
      </w:pPr>
    </w:p>
    <w:p>
      <w:pPr>
        <w:ind w:right="140" w:firstLine="319"/>
        <w:spacing w:after="0" w:line="237" w:lineRule="auto"/>
        <w:rPr>
          <w:sz w:val="20"/>
          <w:szCs w:val="20"/>
          <w:color w:val="auto"/>
        </w:rPr>
      </w:pPr>
      <w:r>
        <w:rPr>
          <w:rFonts w:ascii="Arial" w:cs="Arial" w:eastAsia="Arial" w:hAnsi="Arial"/>
          <w:sz w:val="12"/>
          <w:szCs w:val="12"/>
          <w:color w:val="auto"/>
        </w:rPr>
        <w:t>According to Google Analytics, in the second quarter of 2017, we had approximately 61 million average monthly sessions in the United States, up from approximately 45 million during the same period in 2016. According to comScore, we have become the most visited online automotive marketplace in the United States, and we have the largest mobile audience, with over 78% of our second quarter 2017 monthly unique visitors accessing our marketplace from mobile devices. Our focus on providing unbiased transparency for consumers has also created an engaged user community. According to comScore, during the second quarter of 2017, visitors returned to our site 2.4 times as often as any other major U.S. online automotive marketplace, up from 1.8 times as often in the second quarter of 2016.</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large, engaged, and predominantly mobile user base presents an attractive audience of in-market consumers for our dealers. By connecting dealers with more informed consumers, we believe we provide dealers with an efficient customer acquisition channel and attractive returns on their marketing spend with us. Dealers can list their inventory in our marketplace for free with our Basic Listing product or with a paid subscription to our Enhanced or Featured Listing products. Dealers with free listings receive anonymized email connections and access to a subset of the tools on our Dealer Dashboard at no cost. Dealers with a paid subscription receive connections to consumers that are not anonymous and can be made through a wider variety of methods, including phone calls, email, managed text and chat, links to the dealer's website, and map directions to dealerships. In addition, dealers with our Enhanced and Featured Listing products are able to display their dealer name, address, and dealership information on their listings to gain brand recognition, which promotes walk-in traffic to the dealer. We also provide paying dealers with full access to our Dealer Dashboard, including inventory pricing tools informed by real-time market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conditions, which help them more effectively price, merchandise, and sell their cars. Our success with dealers is evidenced by the 66% growth in the number of paying dealers in our U.S. marketplace from 2015 to 2016.</w:t>
      </w:r>
    </w:p>
    <w:p>
      <w:pPr>
        <w:spacing w:after="0" w:line="153"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Our scaled online marketplace model drives powerful network effects. The industry-leading inventory selection offered by our dealers attracts a large and engaged consumer audience. The value of robust connections to this audience incentivizes dealers to purchase our Enhanced or Featured Listing products. Having more paying dealers provides consumers with more dealer information and methods to contact them. More consumers and connections drives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139" w:lineRule="exact"/>
        <w:rPr>
          <w:sz w:val="20"/>
          <w:szCs w:val="20"/>
          <w:color w:val="auto"/>
        </w:rPr>
      </w:pPr>
    </w:p>
    <w:p>
      <w:pPr>
        <w:ind w:right="120" w:firstLine="326"/>
        <w:spacing w:after="0" w:line="236" w:lineRule="auto"/>
        <w:rPr>
          <w:sz w:val="20"/>
          <w:szCs w:val="20"/>
          <w:color w:val="auto"/>
        </w:rPr>
      </w:pPr>
      <w:r>
        <w:rPr>
          <w:rFonts w:ascii="Arial" w:cs="Arial" w:eastAsia="Arial" w:hAnsi="Arial"/>
          <w:sz w:val="12"/>
          <w:szCs w:val="12"/>
          <w:color w:val="auto"/>
        </w:rPr>
        <w:t>We generate marketplace subscription revenue from dealers through Listing and Dealer Display subscriptions and advertising revenue from auto manufacturers and other auto-related brand advertisers. Our rapid revenue growth and financial performance over the last several years exemplifies the strength of our marketplace. In 2016, we generated revenue of $198.1 million, a 101% increase from $98.6 million of revenue in 2015. Our revenue for the six months ended June 30, 2017 was $143.3 million, a 70% increase from $84.2 million of revenue in the six months ended June 30, 2016. In 2016, we generated net income of $6.5 million and our Adjusted EBITDA was $11.0 million, compared to a net loss of $1.6 million and Adjusted EBITDA of $(0.4) million in 2015. For the six months ended June 30, 2017, we generated net income of $8.6 million and Adjusted EBITDA of $14.1 million, compared to net income of $0.5 million and Adjusted EBITDA of $1.7 million for the six months ended June 30, 2016. See "Selected Consolidated Financial and Other Data — Adjusted EBITDA" for more information regarding our use of Adjusted EBITDA and a reconciliation of Adjusted EBITDA to our net income (loss).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Dynamics and Market Opportunity</w:t>
      </w:r>
    </w:p>
    <w:p>
      <w:pPr>
        <w:spacing w:after="0" w:line="141" w:lineRule="exact"/>
        <w:rPr>
          <w:sz w:val="20"/>
          <w:szCs w:val="20"/>
          <w:color w:val="auto"/>
        </w:rPr>
      </w:pPr>
    </w:p>
    <w:p>
      <w:pPr>
        <w:ind w:right="40" w:firstLine="326"/>
        <w:spacing w:after="0" w:line="244" w:lineRule="auto"/>
        <w:rPr>
          <w:sz w:val="20"/>
          <w:szCs w:val="20"/>
          <w:color w:val="auto"/>
        </w:rPr>
      </w:pPr>
      <w:r>
        <w:rPr>
          <w:rFonts w:ascii="Arial" w:cs="Arial" w:eastAsia="Arial" w:hAnsi="Arial"/>
          <w:sz w:val="12"/>
          <w:szCs w:val="12"/>
          <w:b w:val="1"/>
          <w:bCs w:val="1"/>
          <w:i w:val="1"/>
          <w:iCs w:val="1"/>
          <w:color w:val="auto"/>
        </w:rPr>
        <w:t xml:space="preserve">Significant Purchasing Decision for Consumers. </w:t>
      </w:r>
      <w:r>
        <w:rPr>
          <w:rFonts w:ascii="Arial" w:cs="Arial" w:eastAsia="Arial" w:hAnsi="Arial"/>
          <w:sz w:val="12"/>
          <w:szCs w:val="12"/>
          <w:color w:val="auto"/>
        </w:rPr>
        <w:t>A car is often the second largest purchase a consumer will make, second only to his or her home. Traditionally, the process of finding the right car to buy,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selecting the right dealer or seller to buy it from, and deciding how much to spend, has been complex and intimidating. A 2017 Google study estimates that, during the car buying process, a consumer might have over 900 digital interactions with dealers, brands, and third-party sites. Historically, aggregating inventory across dealerships has been challenging and finding objective information regarding the fair price of a car and the quality of a dealership has been difficult.</w:t>
      </w:r>
    </w:p>
    <w:p>
      <w:pPr>
        <w:spacing w:after="0" w:line="123"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b w:val="1"/>
          <w:bCs w:val="1"/>
          <w:i w:val="1"/>
          <w:iCs w:val="1"/>
          <w:color w:val="auto"/>
        </w:rPr>
        <w:t xml:space="preserve">Massive U.S. Automotive Market. </w:t>
      </w:r>
      <w:r>
        <w:rPr>
          <w:rFonts w:ascii="Arial" w:cs="Arial" w:eastAsia="Arial" w:hAnsi="Arial"/>
          <w:sz w:val="12"/>
          <w:szCs w:val="12"/>
          <w:color w:val="auto"/>
        </w:rPr>
        <w:t>The automotive industry is one of the largest in the United States. Borrell Associates estimates that U.S. retail automotive sales reached $1.3 trillion in 2016, with automotive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dealers accounting for over 85% of all cars sold. According to these estimates, there are approximately 43,000 dealers in the United States, including over 16,000 franchise dealers affiliated with an automotive brand that often sell both new and used cars, and over 26,000 independent dealers that sell only used cars. These U.S. dealers sold approximately 17 million new cars and 44 million used cars in 2016, while peer-to-peer transactions by individuals accounted for approximately 11 million used cars sold. The same report estimates that the U.S. automotive industry spent over $37 billion on advertising in 2016, $23 billion of which was spent by dealers, representing over 60% of the market. Borrell Associates estimates that the U.S. automotive industry will spend approximately $47 billion on advertising by 2021, approximately 62% of which will be spent by dealers. In addition to marketing spend, based on information from investment bank analyst research, we believe that U.S. dealers spend approximately $4.5 billion a year on software solutions, including inventory management, customer relationship management, and data services, among other applications.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ind w:right="320" w:firstLine="326"/>
        <w:spacing w:after="0" w:line="241" w:lineRule="auto"/>
        <w:rPr>
          <w:sz w:val="20"/>
          <w:szCs w:val="20"/>
          <w:color w:val="auto"/>
        </w:rPr>
      </w:pPr>
      <w:r>
        <w:rPr>
          <w:rFonts w:ascii="Arial" w:cs="Arial" w:eastAsia="Arial" w:hAnsi="Arial"/>
          <w:sz w:val="12"/>
          <w:szCs w:val="12"/>
          <w:b w:val="1"/>
          <w:bCs w:val="1"/>
          <w:i w:val="1"/>
          <w:iCs w:val="1"/>
          <w:color w:val="auto"/>
        </w:rPr>
        <w:t xml:space="preserve">Shift from Offline to Online. </w:t>
      </w:r>
      <w:r>
        <w:rPr>
          <w:rFonts w:ascii="Arial" w:cs="Arial" w:eastAsia="Arial" w:hAnsi="Arial"/>
          <w:sz w:val="12"/>
          <w:szCs w:val="12"/>
          <w:color w:val="auto"/>
        </w:rPr>
        <w:t>Consumers are increasingly using the Internet to search for cars before entering a dealership. According to JD Power &amp; Associates, the average car buyer spends 14 hours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researching cars online prior to making a purchase. This shift in consumer behavior, which places more reliance on digital research, has led to a decrease in the number of dealership visits a consumer makes prior to purchasing a car; the average consumer visited 1.6 dealerships before buying a car in 2015, which is a 68% decrease from 2005. To respond to this trend, the U.S. automotive industry has increasingly allocated more marketing spend to online channels. According to Borrell Associates estimates, 57%, or $21 billion, of the U.S. automotive marketing spend was on online channels in 2016, up from 32% in 2011, and it is expected to increase to 70% by 2021.</w:t>
      </w:r>
    </w:p>
    <w:p>
      <w:pPr>
        <w:spacing w:after="0" w:line="127" w:lineRule="exact"/>
        <w:rPr>
          <w:sz w:val="20"/>
          <w:szCs w:val="20"/>
          <w:color w:val="auto"/>
        </w:rPr>
      </w:pPr>
    </w:p>
    <w:p>
      <w:pPr>
        <w:ind w:firstLine="326"/>
        <w:spacing w:after="0" w:line="248" w:lineRule="auto"/>
        <w:rPr>
          <w:sz w:val="20"/>
          <w:szCs w:val="20"/>
          <w:color w:val="auto"/>
        </w:rPr>
      </w:pPr>
      <w:r>
        <w:rPr>
          <w:rFonts w:ascii="Arial" w:cs="Arial" w:eastAsia="Arial" w:hAnsi="Arial"/>
          <w:sz w:val="12"/>
          <w:szCs w:val="12"/>
          <w:b w:val="1"/>
          <w:bCs w:val="1"/>
          <w:i w:val="1"/>
          <w:iCs w:val="1"/>
          <w:color w:val="auto"/>
        </w:rPr>
        <w:t xml:space="preserve">Increasing Importance of Mobile Devices. </w:t>
      </w:r>
      <w:r>
        <w:rPr>
          <w:rFonts w:ascii="Arial" w:cs="Arial" w:eastAsia="Arial" w:hAnsi="Arial"/>
          <w:sz w:val="12"/>
          <w:szCs w:val="12"/>
          <w:color w:val="auto"/>
        </w:rPr>
        <w:t>Consumers are increasingly using their mobile devices to search for vehicles. For many consumers, shopping for a car is an intermittent process occurring on and off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dealers' lots, making it particularly well-suited for a mobile search experience. A 2015 Google study estimates that more than half of shoppers use a smartphone for research while on a dealer's lot, and a 2017 Google study estimates that as much as 71% of a consumer's interactions with dealers, brands, and third-party sites during the car buying process occurred on a mobile device.</w:t>
      </w:r>
    </w:p>
    <w:p>
      <w:pPr>
        <w:spacing w:after="0" w:line="122" w:lineRule="exact"/>
        <w:rPr>
          <w:sz w:val="20"/>
          <w:szCs w:val="20"/>
          <w:color w:val="auto"/>
        </w:rPr>
      </w:pPr>
    </w:p>
    <w:p>
      <w:pPr>
        <w:ind w:firstLine="326"/>
        <w:spacing w:after="0" w:line="248" w:lineRule="auto"/>
        <w:rPr>
          <w:sz w:val="20"/>
          <w:szCs w:val="20"/>
          <w:color w:val="auto"/>
        </w:rPr>
      </w:pPr>
      <w:r>
        <w:rPr>
          <w:rFonts w:ascii="Arial" w:cs="Arial" w:eastAsia="Arial" w:hAnsi="Arial"/>
          <w:sz w:val="12"/>
          <w:szCs w:val="12"/>
          <w:b w:val="1"/>
          <w:bCs w:val="1"/>
          <w:i w:val="1"/>
          <w:iCs w:val="1"/>
          <w:color w:val="auto"/>
        </w:rPr>
        <w:t xml:space="preserve">Highly Fragmented, Local Market. </w:t>
      </w:r>
      <w:r>
        <w:rPr>
          <w:rFonts w:ascii="Arial" w:cs="Arial" w:eastAsia="Arial" w:hAnsi="Arial"/>
          <w:sz w:val="12"/>
          <w:szCs w:val="12"/>
          <w:color w:val="auto"/>
        </w:rPr>
        <w:t>The market for new and used car sales is highly fragmented and local, making it competitive for dealers to find local buyers. A dealer's inventory may change daily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speed at which a dealer turns its inventory is a key driver of its profitability. Additionally, unlike new cars, no two used cars are alike, and used car buyers often search for a very specific configuration, including make, model, trim, options, year, mileage, and price. This makes it challenging for dealers to find the right buyer for a specific vehicle in a cost-efficient manner.</w:t>
      </w:r>
    </w:p>
    <w:p>
      <w:pPr>
        <w:spacing w:after="0" w:line="122" w:lineRule="exact"/>
        <w:rPr>
          <w:sz w:val="20"/>
          <w:szCs w:val="20"/>
          <w:color w:val="auto"/>
        </w:rPr>
      </w:pPr>
    </w:p>
    <w:p>
      <w:pPr>
        <w:ind w:right="140" w:firstLine="326"/>
        <w:spacing w:after="0" w:line="269" w:lineRule="auto"/>
        <w:rPr>
          <w:sz w:val="20"/>
          <w:szCs w:val="20"/>
          <w:color w:val="auto"/>
        </w:rPr>
      </w:pPr>
      <w:r>
        <w:rPr>
          <w:rFonts w:ascii="Arial" w:cs="Arial" w:eastAsia="Arial" w:hAnsi="Arial"/>
          <w:sz w:val="11"/>
          <w:szCs w:val="11"/>
          <w:b w:val="1"/>
          <w:bCs w:val="1"/>
          <w:i w:val="1"/>
          <w:iCs w:val="1"/>
          <w:color w:val="auto"/>
        </w:rPr>
        <w:t xml:space="preserve">Large International Automotive Markets with Similar Dynamics as the United States. </w:t>
      </w:r>
      <w:r>
        <w:rPr>
          <w:rFonts w:ascii="Arial" w:cs="Arial" w:eastAsia="Arial" w:hAnsi="Arial"/>
          <w:sz w:val="11"/>
          <w:szCs w:val="11"/>
          <w:color w:val="auto"/>
        </w:rPr>
        <w:t>Much like in the United States, dealers represent a critical part of international automotive markets. It is estimated that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2016, there were approximately 5,800 dealers in Canada and 4.9 million new and used cars sold; 11,700 dealers in the United Kingdom and 10.9 million new and used cars sold; and 21,000 dealers in Germany and</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2"/>
          <w:szCs w:val="12"/>
          <w:color w:val="auto"/>
        </w:rPr>
        <w:t>10.8 million new and used cars sold. We believe our marketplace will be attractive in these and other international markets as an alternative to paid-inclusion automotive marketplaces that lack unbiased transparency for consumers and free listing options for dealers.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Consumer Challenges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Upon determining what type of car to purchase, consumers face many questions:</w:t>
      </w:r>
    </w:p>
    <w:p>
      <w:pPr>
        <w:spacing w:after="0" w:line="141" w:lineRule="exact"/>
        <w:rPr>
          <w:sz w:val="20"/>
          <w:szCs w:val="20"/>
          <w:color w:val="auto"/>
        </w:rPr>
      </w:pPr>
    </w:p>
    <w:p>
      <w:pPr>
        <w:ind w:left="720" w:hanging="368"/>
        <w:spacing w:after="0"/>
        <w:tabs>
          <w:tab w:leader="none" w:pos="7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Which dealer has a car like this?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What is a fair price for this particular type of car?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Have others had a good experience buying from this dealer?</w:t>
      </w:r>
    </w:p>
    <w:p>
      <w:pPr>
        <w:spacing w:after="0" w:line="141"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In answering these questions, consumers have historically had limited access to unbiased information on specific vehicles, car pricing, and dealer reputation. For consumers searching for used cars, every car is unique, and it is difficult to aggregate the relevant inventory of available used cars across dealers, a difficulty exacerbated by the lack of consistency in the way that dealers characterize a car's attributes. Generally, dealers also have had more information about car prices than consumers do, as consumers have had limited resources and tools to determine an appropriate price. Finally, selecting the right dealer has also been challenging for consumers as dealer reputations have historically been based primarily on word-of-mouth. The lack of clear,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unbiased, transparent information has made it difficult for consumers to effectively compare vehicles and find the vehicle that best suits their needs.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Dealer Challenges</w:t>
      </w:r>
    </w:p>
    <w:p>
      <w:pPr>
        <w:spacing w:after="0" w:line="155" w:lineRule="exact"/>
        <w:rPr>
          <w:sz w:val="20"/>
          <w:szCs w:val="20"/>
          <w:color w:val="auto"/>
        </w:rPr>
      </w:pPr>
    </w:p>
    <w:p>
      <w:pPr>
        <w:ind w:right="80" w:firstLine="323"/>
        <w:spacing w:after="0" w:line="237" w:lineRule="auto"/>
        <w:rPr>
          <w:sz w:val="20"/>
          <w:szCs w:val="20"/>
          <w:color w:val="auto"/>
        </w:rPr>
      </w:pPr>
      <w:r>
        <w:rPr>
          <w:rFonts w:ascii="Arial" w:cs="Arial" w:eastAsia="Arial" w:hAnsi="Arial"/>
          <w:sz w:val="12"/>
          <w:szCs w:val="12"/>
          <w:color w:val="auto"/>
        </w:rPr>
        <w:t>The economics of dealerships depend largely on sales volume, gross margin, and customer acquisition efficiency. To achieve a high return on their marketing investments, dealers must find in-market consumers, yet because car purchases are infrequent, only a small percentage of consumers are shopping for a car at any given point in time. Traditional marketing channels, including television, radio, and newspaper, can effectively target locally but are inefficient in reaching the small percentage of consumers who are actively in the market to buy a car. In addition, used car pricing is fluid because it is based on rapidly shifting supply and demand dynamics. Dealers need to find ways to manage constantly changing inventory and adjust pricing strategies to adapt to frequently changing market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Approach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Why Consumers Choose Us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that our marketplace offers the best online automotive marketplace experience for consumers, distinguished by the following:</w:t>
      </w:r>
    </w:p>
    <w:p>
      <w:pPr>
        <w:spacing w:after="0" w:line="129" w:lineRule="exact"/>
        <w:rPr>
          <w:sz w:val="20"/>
          <w:szCs w:val="20"/>
          <w:color w:val="auto"/>
        </w:rPr>
      </w:pPr>
    </w:p>
    <w:p>
      <w:pPr>
        <w:ind w:left="720" w:right="20" w:hanging="368"/>
        <w:spacing w:after="0" w:line="243" w:lineRule="auto"/>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Largest Inventory Selection. </w:t>
      </w:r>
      <w:r>
        <w:rPr>
          <w:rFonts w:ascii="Arial" w:cs="Arial" w:eastAsia="Arial" w:hAnsi="Arial"/>
          <w:sz w:val="12"/>
          <w:szCs w:val="12"/>
          <w:color w:val="auto"/>
        </w:rPr>
        <w:t>As of June 30, 2017, we had an active dealer network of over 40,000 dealers, and our selection of over 5.4 million car listings is the largest number of car listings available on any</w:t>
      </w:r>
      <w:r>
        <w:rPr>
          <w:rFonts w:ascii="Arial" w:cs="Arial" w:eastAsia="Arial" w:hAnsi="Arial"/>
          <w:sz w:val="12"/>
          <w:szCs w:val="12"/>
          <w:i w:val="1"/>
          <w:iCs w:val="1"/>
          <w:color w:val="auto"/>
        </w:rPr>
        <w:t xml:space="preserve"> </w:t>
      </w:r>
      <w:r>
        <w:rPr>
          <w:rFonts w:ascii="Arial" w:cs="Arial" w:eastAsia="Arial" w:hAnsi="Arial"/>
          <w:sz w:val="12"/>
          <w:szCs w:val="12"/>
          <w:color w:val="auto"/>
        </w:rPr>
        <w:t>of the major U.S. online automotive marketplaces. We define our active dealer network as consisting of all dealers to which we connected a user about a listing during the ninety-day period ending on the applicable measurement date. Our marketplace enables consumers to easily connect with these dealers through a variety of channels, including phone calls, email, managed text and chat, links to the dealer's website, and map directions to dealerships.</w:t>
      </w:r>
    </w:p>
    <w:p>
      <w:pPr>
        <w:spacing w:after="0" w:line="125" w:lineRule="exact"/>
        <w:rPr>
          <w:rFonts w:ascii="Arial" w:cs="Arial" w:eastAsia="Arial" w:hAnsi="Arial"/>
          <w:sz w:val="12"/>
          <w:szCs w:val="12"/>
          <w:color w:val="auto"/>
        </w:rPr>
      </w:pPr>
    </w:p>
    <w:p>
      <w:pPr>
        <w:ind w:left="720" w:hanging="368"/>
        <w:spacing w:after="0" w:line="241" w:lineRule="auto"/>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Trust and Unbiased Transparency. </w:t>
      </w:r>
      <w:r>
        <w:rPr>
          <w:rFonts w:ascii="Arial" w:cs="Arial" w:eastAsia="Arial" w:hAnsi="Arial"/>
          <w:sz w:val="12"/>
          <w:szCs w:val="12"/>
          <w:color w:val="auto"/>
        </w:rPr>
        <w:t>Used cars identified through searches in our marketplace are sorted by and shown with a Deal Rating, which illustrates how competitive a listing is compared to similar cars</w:t>
      </w:r>
      <w:r>
        <w:rPr>
          <w:rFonts w:ascii="Arial" w:cs="Arial" w:eastAsia="Arial" w:hAnsi="Arial"/>
          <w:sz w:val="12"/>
          <w:szCs w:val="12"/>
          <w:i w:val="1"/>
          <w:iCs w:val="1"/>
          <w:color w:val="auto"/>
        </w:rPr>
        <w:t xml:space="preserve"> </w:t>
      </w:r>
      <w:r>
        <w:rPr>
          <w:rFonts w:ascii="Arial" w:cs="Arial" w:eastAsia="Arial" w:hAnsi="Arial"/>
          <w:sz w:val="12"/>
          <w:szCs w:val="12"/>
          <w:color w:val="auto"/>
        </w:rPr>
        <w:t>sold in the same region in recent history. We determine Deal Rating principally on the basis of our proprietary IMV and Dealer Rating, which is based on qualified dealer reviews from our users, associated with the car. For new cars, which have manufacturer suggested retail prices, or MSRPs, and no vehicle history, we help our users understand deal quality by providing price analysis and our Dealer Rating. These features, coupled with information historically not widely available, such as Price History, Time on Site, and Vehicle History, provide consumers with unbiased, transparent information with which to make their purchasing decision.</w:t>
      </w:r>
    </w:p>
    <w:p>
      <w:pPr>
        <w:spacing w:after="0" w:line="117" w:lineRule="exact"/>
        <w:rPr>
          <w:rFonts w:ascii="Arial" w:cs="Arial" w:eastAsia="Arial" w:hAnsi="Arial"/>
          <w:sz w:val="12"/>
          <w:szCs w:val="12"/>
          <w:color w:val="auto"/>
        </w:rPr>
      </w:pPr>
    </w:p>
    <w:p>
      <w:pPr>
        <w:ind w:left="720" w:right="60" w:hanging="368"/>
        <w:spacing w:after="0" w:line="241" w:lineRule="auto"/>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Intuitive Search Results. </w:t>
      </w:r>
      <w:r>
        <w:rPr>
          <w:rFonts w:ascii="Arial" w:cs="Arial" w:eastAsia="Arial" w:hAnsi="Arial"/>
          <w:sz w:val="12"/>
          <w:szCs w:val="12"/>
          <w:color w:val="auto"/>
        </w:rPr>
        <w:t>For used car shoppers, our organic search function prioritizes results by a car's Deal Rating, which we believe is most relevant to a consumer's decision criteria. In contrast, paid-inclusion automotive marketplaces award dealers preferential listing placement based on how much a dealer pays. Apart from a limited number of paid Featured listings for each search, our organic search results are oriented solely by "Great Deals from Great Dealers" in the relevant local market. We also empower consumers with a variety of tools to search and filter the inventory on our site in ways that help them efficiently find the best car for their needs. Furthermore, the limited amount of advertising content on our search results pages reduces unnecessary clutter and allows consumers to focus on their search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ind w:left="720" w:right="100" w:hanging="368"/>
        <w:spacing w:after="0" w:line="243" w:lineRule="auto"/>
        <w:tabs>
          <w:tab w:leader="none" w:pos="72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Robust, Mobile-Focused Experience. </w:t>
      </w:r>
      <w:r>
        <w:rPr>
          <w:rFonts w:ascii="Arial" w:cs="Arial" w:eastAsia="Arial" w:hAnsi="Arial"/>
          <w:sz w:val="12"/>
          <w:szCs w:val="12"/>
          <w:color w:val="auto"/>
        </w:rPr>
        <w:t>We have designed our marketplace to appeal to mobile users by developing our products with a mobile-first mindset. This approach has resulted in over 78% of our</w:t>
      </w:r>
      <w:r>
        <w:rPr>
          <w:rFonts w:ascii="Arial" w:cs="Arial" w:eastAsia="Arial" w:hAnsi="Arial"/>
          <w:sz w:val="12"/>
          <w:szCs w:val="12"/>
          <w:i w:val="1"/>
          <w:iCs w:val="1"/>
          <w:color w:val="auto"/>
        </w:rPr>
        <w:t xml:space="preserve"> </w:t>
      </w:r>
      <w:r>
        <w:rPr>
          <w:rFonts w:ascii="Arial" w:cs="Arial" w:eastAsia="Arial" w:hAnsi="Arial"/>
          <w:sz w:val="12"/>
          <w:szCs w:val="12"/>
          <w:color w:val="auto"/>
        </w:rPr>
        <w:t>monthly unique visitors accessing our marketplace from mobile devices in the second quarter of 2017 and a 43% growth in our average monthly mobile visits from 2015 to 2016, according to comScore. Our growth in mobile visits continues in 2017; according to comScore, we had over 34 million average mobile monthly visits, the most of any online automotive marketplace in the United States, and we had 44% more mobile monthly unique visitors than the next largest mobile audience among the major U.S. automotive marketplaces during the second quarter of 2017.</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Why Dealers Choose Us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that dealers choose us for the following reasons:</w:t>
      </w:r>
    </w:p>
    <w:p>
      <w:pPr>
        <w:spacing w:after="0" w:line="138" w:lineRule="exact"/>
        <w:rPr>
          <w:sz w:val="20"/>
          <w:szCs w:val="20"/>
          <w:color w:val="auto"/>
        </w:rPr>
      </w:pPr>
    </w:p>
    <w:p>
      <w:pPr>
        <w:ind w:left="720" w:right="300" w:hanging="368"/>
        <w:spacing w:after="0" w:line="247" w:lineRule="auto"/>
        <w:tabs>
          <w:tab w:leader="none" w:pos="720" w:val="left"/>
        </w:tabs>
        <w:numPr>
          <w:ilvl w:val="0"/>
          <w:numId w:val="47"/>
        </w:numPr>
        <w:rPr>
          <w:rFonts w:ascii="Arial" w:cs="Arial" w:eastAsia="Arial" w:hAnsi="Arial"/>
          <w:sz w:val="12"/>
          <w:szCs w:val="12"/>
          <w:color w:val="auto"/>
        </w:rPr>
      </w:pPr>
      <w:r>
        <w:rPr>
          <w:rFonts w:ascii="Arial" w:cs="Arial" w:eastAsia="Arial" w:hAnsi="Arial"/>
          <w:sz w:val="12"/>
          <w:szCs w:val="12"/>
          <w:i w:val="1"/>
          <w:iCs w:val="1"/>
          <w:color w:val="auto"/>
        </w:rPr>
        <w:t xml:space="preserve">Attractive Return on Investment. </w:t>
      </w:r>
      <w:r>
        <w:rPr>
          <w:rFonts w:ascii="Arial" w:cs="Arial" w:eastAsia="Arial" w:hAnsi="Arial"/>
          <w:sz w:val="12"/>
          <w:szCs w:val="12"/>
          <w:color w:val="auto"/>
        </w:rPr>
        <w:t>Return on investment, or ROI, which measures gross profit from the sale of cars in relation to the amount of the associated marketing expense, is a principal metric for</w:t>
      </w:r>
      <w:r>
        <w:rPr>
          <w:rFonts w:ascii="Arial" w:cs="Arial" w:eastAsia="Arial" w:hAnsi="Arial"/>
          <w:sz w:val="12"/>
          <w:szCs w:val="12"/>
          <w:i w:val="1"/>
          <w:iCs w:val="1"/>
          <w:color w:val="auto"/>
        </w:rPr>
        <w:t xml:space="preserve"> </w:t>
      </w:r>
      <w:r>
        <w:rPr>
          <w:rFonts w:ascii="Arial" w:cs="Arial" w:eastAsia="Arial" w:hAnsi="Arial"/>
          <w:sz w:val="12"/>
          <w:szCs w:val="12"/>
          <w:color w:val="auto"/>
        </w:rPr>
        <w:t>assessing the performance of a customer acquisition channel. We believe we offer dealers an efficient customer acquisition channel driven by the volume of connections to our users, the quality of those connections, and the brand exposure to our engaged audience in relation to our subscription cost.</w:t>
      </w:r>
    </w:p>
    <w:p>
      <w:pPr>
        <w:spacing w:after="0" w:line="114" w:lineRule="exact"/>
        <w:rPr>
          <w:rFonts w:ascii="Arial" w:cs="Arial" w:eastAsia="Arial" w:hAnsi="Arial"/>
          <w:sz w:val="12"/>
          <w:szCs w:val="12"/>
          <w:color w:val="auto"/>
        </w:rPr>
      </w:pPr>
    </w:p>
    <w:p>
      <w:pPr>
        <w:ind w:left="720" w:right="60" w:hanging="368"/>
        <w:spacing w:after="0" w:line="247" w:lineRule="auto"/>
        <w:tabs>
          <w:tab w:leader="none" w:pos="720" w:val="left"/>
        </w:tabs>
        <w:numPr>
          <w:ilvl w:val="0"/>
          <w:numId w:val="47"/>
        </w:numPr>
        <w:rPr>
          <w:rFonts w:ascii="Arial" w:cs="Arial" w:eastAsia="Arial" w:hAnsi="Arial"/>
          <w:sz w:val="12"/>
          <w:szCs w:val="12"/>
          <w:color w:val="auto"/>
        </w:rPr>
      </w:pPr>
      <w:r>
        <w:rPr>
          <w:rFonts w:ascii="Arial" w:cs="Arial" w:eastAsia="Arial" w:hAnsi="Arial"/>
          <w:sz w:val="12"/>
          <w:szCs w:val="12"/>
          <w:i w:val="1"/>
          <w:iCs w:val="1"/>
          <w:color w:val="auto"/>
        </w:rPr>
        <w:t xml:space="preserve">Large and Engaged Audience. </w:t>
      </w:r>
      <w:r>
        <w:rPr>
          <w:rFonts w:ascii="Arial" w:cs="Arial" w:eastAsia="Arial" w:hAnsi="Arial"/>
          <w:sz w:val="12"/>
          <w:szCs w:val="12"/>
          <w:color w:val="auto"/>
        </w:rPr>
        <w:t>We are the most visited online automotive marketplace in the United States; according to comScore, in the second quarter of 2017 we had 2.3 times as many visits to our U.S.</w:t>
      </w:r>
      <w:r>
        <w:rPr>
          <w:rFonts w:ascii="Arial" w:cs="Arial" w:eastAsia="Arial" w:hAnsi="Arial"/>
          <w:sz w:val="12"/>
          <w:szCs w:val="12"/>
          <w:i w:val="1"/>
          <w:iCs w:val="1"/>
          <w:color w:val="auto"/>
        </w:rPr>
        <w:t xml:space="preserve"> </w:t>
      </w:r>
      <w:r>
        <w:rPr>
          <w:rFonts w:ascii="Arial" w:cs="Arial" w:eastAsia="Arial" w:hAnsi="Arial"/>
          <w:sz w:val="12"/>
          <w:szCs w:val="12"/>
          <w:color w:val="auto"/>
        </w:rPr>
        <w:t>website as any other major U.S. online automotive marketplace, up from 1.8 times as many during the same period in 2016. In addition, we believe our audience is more engaged than users of other online automotive marketplaces; in the second quarter of 2017, our visitors returned to our site 2.4 times as often as any other major U.S. online automotive marketplace.</w:t>
      </w:r>
    </w:p>
    <w:p>
      <w:pPr>
        <w:spacing w:after="0" w:line="114" w:lineRule="exact"/>
        <w:rPr>
          <w:rFonts w:ascii="Arial" w:cs="Arial" w:eastAsia="Arial" w:hAnsi="Arial"/>
          <w:sz w:val="12"/>
          <w:szCs w:val="12"/>
          <w:color w:val="auto"/>
        </w:rPr>
      </w:pPr>
    </w:p>
    <w:p>
      <w:pPr>
        <w:ind w:left="720" w:right="140" w:hanging="368"/>
        <w:spacing w:after="0" w:line="259" w:lineRule="auto"/>
        <w:tabs>
          <w:tab w:leader="none" w:pos="720" w:val="left"/>
        </w:tabs>
        <w:numPr>
          <w:ilvl w:val="0"/>
          <w:numId w:val="47"/>
        </w:numPr>
        <w:rPr>
          <w:rFonts w:ascii="Arial" w:cs="Arial" w:eastAsia="Arial" w:hAnsi="Arial"/>
          <w:sz w:val="12"/>
          <w:szCs w:val="12"/>
          <w:color w:val="auto"/>
        </w:rPr>
      </w:pPr>
      <w:r>
        <w:rPr>
          <w:rFonts w:ascii="Arial" w:cs="Arial" w:eastAsia="Arial" w:hAnsi="Arial"/>
          <w:sz w:val="12"/>
          <w:szCs w:val="12"/>
          <w:i w:val="1"/>
          <w:iCs w:val="1"/>
          <w:color w:val="auto"/>
        </w:rPr>
        <w:t xml:space="preserve">Volume of Connections. </w:t>
      </w:r>
      <w:r>
        <w:rPr>
          <w:rFonts w:ascii="Arial" w:cs="Arial" w:eastAsia="Arial" w:hAnsi="Arial"/>
          <w:sz w:val="12"/>
          <w:szCs w:val="12"/>
          <w:color w:val="auto"/>
        </w:rPr>
        <w:t>Our marketplace enables consumers to easily connect with dealers through a variety of channels, including phone calls, email, managed text and chat, links to the dealer's website,</w:t>
      </w:r>
      <w:r>
        <w:rPr>
          <w:rFonts w:ascii="Arial" w:cs="Arial" w:eastAsia="Arial" w:hAnsi="Arial"/>
          <w:sz w:val="12"/>
          <w:szCs w:val="12"/>
          <w:i w:val="1"/>
          <w:iCs w:val="1"/>
          <w:color w:val="auto"/>
        </w:rPr>
        <w:t xml:space="preserve"> </w:t>
      </w:r>
      <w:r>
        <w:rPr>
          <w:rFonts w:ascii="Arial" w:cs="Arial" w:eastAsia="Arial" w:hAnsi="Arial"/>
          <w:sz w:val="12"/>
          <w:szCs w:val="12"/>
          <w:color w:val="auto"/>
        </w:rPr>
        <w:t>and map directions to dealerships. Leveraging our large consumer audience, we provided over 42 million connections to our dealers in the United States in 2016.</w:t>
      </w:r>
    </w:p>
    <w:p>
      <w:pPr>
        <w:spacing w:after="0" w:line="116" w:lineRule="exact"/>
        <w:rPr>
          <w:rFonts w:ascii="Arial" w:cs="Arial" w:eastAsia="Arial" w:hAnsi="Arial"/>
          <w:sz w:val="12"/>
          <w:szCs w:val="12"/>
          <w:color w:val="auto"/>
        </w:rPr>
      </w:pPr>
    </w:p>
    <w:p>
      <w:pPr>
        <w:ind w:left="720" w:right="20" w:hanging="368"/>
        <w:spacing w:after="0" w:line="304" w:lineRule="auto"/>
        <w:tabs>
          <w:tab w:leader="none" w:pos="720" w:val="left"/>
        </w:tabs>
        <w:numPr>
          <w:ilvl w:val="0"/>
          <w:numId w:val="47"/>
        </w:numPr>
        <w:rPr>
          <w:rFonts w:ascii="Arial" w:cs="Arial" w:eastAsia="Arial" w:hAnsi="Arial"/>
          <w:sz w:val="11"/>
          <w:szCs w:val="11"/>
          <w:color w:val="auto"/>
        </w:rPr>
      </w:pPr>
      <w:r>
        <w:rPr>
          <w:rFonts w:ascii="Arial" w:cs="Arial" w:eastAsia="Arial" w:hAnsi="Arial"/>
          <w:sz w:val="11"/>
          <w:szCs w:val="11"/>
          <w:i w:val="1"/>
          <w:iCs w:val="1"/>
          <w:color w:val="auto"/>
        </w:rPr>
        <w:t xml:space="preserve">Broad Suite of Products and Tools. </w:t>
      </w:r>
      <w:r>
        <w:rPr>
          <w:rFonts w:ascii="Arial" w:cs="Arial" w:eastAsia="Arial" w:hAnsi="Arial"/>
          <w:sz w:val="11"/>
          <w:szCs w:val="11"/>
          <w:color w:val="auto"/>
        </w:rPr>
        <w:t>We offer products that help dealers acquire customers and build their brands, such as Enhanced Listing, Featured Listing, Dealer Display advertising, Deal Rating Badges,</w:t>
      </w:r>
      <w:r>
        <w:rPr>
          <w:rFonts w:ascii="Arial" w:cs="Arial" w:eastAsia="Arial" w:hAnsi="Arial"/>
          <w:sz w:val="11"/>
          <w:szCs w:val="11"/>
          <w:i w:val="1"/>
          <w:iCs w:val="1"/>
          <w:color w:val="auto"/>
        </w:rPr>
        <w:t xml:space="preserve"> </w:t>
      </w:r>
      <w:r>
        <w:rPr>
          <w:rFonts w:ascii="Arial" w:cs="Arial" w:eastAsia="Arial" w:hAnsi="Arial"/>
          <w:sz w:val="11"/>
          <w:szCs w:val="11"/>
          <w:color w:val="auto"/>
        </w:rPr>
        <w:t>and dealer search engine marketing. Additionally, we provide tools to help dealers market and sell their cars more efficiently, such as our Pricing Tool, Market Analysis tool, and Dealer Insights tool.</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Why Auto Manufacturers Choose Us</w:t>
      </w:r>
    </w:p>
    <w:p>
      <w:pPr>
        <w:spacing w:after="0" w:line="155"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In addition to dealers, our audience also appeals to auto manufacturers. Auto manufacturers have few other opportunities to reach an audience of consumers as large and engaged as ours who are actively looking to purchase a car. We believe that auto manufacturers also choose us for the following reasons:</w:t>
      </w:r>
    </w:p>
    <w:p>
      <w:pPr>
        <w:spacing w:after="0" w:line="127" w:lineRule="exact"/>
        <w:rPr>
          <w:sz w:val="20"/>
          <w:szCs w:val="20"/>
          <w:color w:val="auto"/>
        </w:rPr>
      </w:pPr>
    </w:p>
    <w:p>
      <w:pPr>
        <w:ind w:left="720" w:right="100" w:hanging="368"/>
        <w:spacing w:after="0" w:line="247" w:lineRule="auto"/>
        <w:tabs>
          <w:tab w:leader="none" w:pos="72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Unique Non-Overlapping Audience of In-Market Consumers. </w:t>
      </w:r>
      <w:r>
        <w:rPr>
          <w:rFonts w:ascii="Arial" w:cs="Arial" w:eastAsia="Arial" w:hAnsi="Arial"/>
          <w:sz w:val="12"/>
          <w:szCs w:val="12"/>
          <w:color w:val="auto"/>
        </w:rPr>
        <w:t>Based on comScore estimates, in the second quarter of 2017, 62% of our monthly unique visitors did not visit any of the other major U.S. online</w:t>
      </w:r>
      <w:r>
        <w:rPr>
          <w:rFonts w:ascii="Arial" w:cs="Arial" w:eastAsia="Arial" w:hAnsi="Arial"/>
          <w:sz w:val="12"/>
          <w:szCs w:val="12"/>
          <w:i w:val="1"/>
          <w:iCs w:val="1"/>
          <w:color w:val="auto"/>
        </w:rPr>
        <w:t xml:space="preserve"> </w:t>
      </w:r>
      <w:r>
        <w:rPr>
          <w:rFonts w:ascii="Arial" w:cs="Arial" w:eastAsia="Arial" w:hAnsi="Arial"/>
          <w:sz w:val="12"/>
          <w:szCs w:val="12"/>
          <w:color w:val="auto"/>
        </w:rPr>
        <w:t>automotive marketplaces during the same period. This creates a compelling value proposition to auto manufacturers, as they would have difficulty reaching these users at scale elsewhere. In addition, traditional media channels, such as television, radio, and newspaper, provide limited segmentation and targeting ability, such that only 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left="720" w:right="220"/>
        <w:spacing w:after="0" w:line="237" w:lineRule="auto"/>
        <w:rPr>
          <w:sz w:val="20"/>
          <w:szCs w:val="20"/>
          <w:color w:val="auto"/>
        </w:rPr>
      </w:pPr>
      <w:r>
        <w:rPr>
          <w:rFonts w:ascii="Arial" w:cs="Arial" w:eastAsia="Arial" w:hAnsi="Arial"/>
          <w:sz w:val="12"/>
          <w:szCs w:val="12"/>
          <w:color w:val="auto"/>
        </w:rPr>
        <w:t>small fraction of consumers reached will actively be in the market to purchase a car. In contrast, based on a survey of 1,767 of our users we conducted during the second quarter of 2017, 88% are actively shopping for a car and 48% intend to buy a car in the next month. Furthermore, advertisers on our site can target consumers based on geography, various demographic and behavioral segmentations, and browsing history.</w:t>
      </w:r>
    </w:p>
    <w:p>
      <w:pPr>
        <w:spacing w:after="0" w:line="129" w:lineRule="exact"/>
        <w:rPr>
          <w:sz w:val="20"/>
          <w:szCs w:val="20"/>
          <w:color w:val="auto"/>
        </w:rPr>
      </w:pPr>
    </w:p>
    <w:p>
      <w:pPr>
        <w:ind w:left="720" w:hanging="368"/>
        <w:spacing w:after="0" w:line="280" w:lineRule="auto"/>
        <w:tabs>
          <w:tab w:leader="none" w:pos="720" w:val="left"/>
        </w:tabs>
        <w:numPr>
          <w:ilvl w:val="0"/>
          <w:numId w:val="49"/>
        </w:numPr>
        <w:rPr>
          <w:rFonts w:ascii="Arial" w:cs="Arial" w:eastAsia="Arial" w:hAnsi="Arial"/>
          <w:sz w:val="11"/>
          <w:szCs w:val="11"/>
          <w:color w:val="auto"/>
        </w:rPr>
      </w:pPr>
      <w:r>
        <w:rPr>
          <w:rFonts w:ascii="Arial" w:cs="Arial" w:eastAsia="Arial" w:hAnsi="Arial"/>
          <w:sz w:val="11"/>
          <w:szCs w:val="11"/>
          <w:i w:val="1"/>
          <w:iCs w:val="1"/>
          <w:color w:val="auto"/>
        </w:rPr>
        <w:t xml:space="preserve">Clean, Uncluttered Pages. </w:t>
      </w:r>
      <w:r>
        <w:rPr>
          <w:rFonts w:ascii="Arial" w:cs="Arial" w:eastAsia="Arial" w:hAnsi="Arial"/>
          <w:sz w:val="11"/>
          <w:szCs w:val="11"/>
          <w:color w:val="auto"/>
        </w:rPr>
        <w:t>We provide a clean and uncluttered user interface that helps users efficiently find the best car for their needs as part of our commitment to create the best consumer experience. We</w:t>
      </w:r>
      <w:r>
        <w:rPr>
          <w:rFonts w:ascii="Arial" w:cs="Arial" w:eastAsia="Arial" w:hAnsi="Arial"/>
          <w:sz w:val="11"/>
          <w:szCs w:val="11"/>
          <w:i w:val="1"/>
          <w:iCs w:val="1"/>
          <w:color w:val="auto"/>
        </w:rPr>
        <w:t xml:space="preserve"> </w:t>
      </w:r>
      <w:r>
        <w:rPr>
          <w:rFonts w:ascii="Arial" w:cs="Arial" w:eastAsia="Arial" w:hAnsi="Arial"/>
          <w:sz w:val="11"/>
          <w:szCs w:val="11"/>
          <w:color w:val="auto"/>
        </w:rPr>
        <w:t>limit the number of advertisements on any given page; for example, our mobile site has no advertisements on the front page and we have on average fewer than two banner advertisements per search results page, or SRP, across both desktop and mobile. This helps advertisers' messages better resonate when compared to other online automotive marketplaces that display significantly more ads per SRP.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Strengths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that our competitive advantages are based on the following key strengths:</w:t>
      </w:r>
    </w:p>
    <w:p>
      <w:pPr>
        <w:spacing w:after="0" w:line="127" w:lineRule="exact"/>
        <w:rPr>
          <w:sz w:val="20"/>
          <w:szCs w:val="20"/>
          <w:color w:val="auto"/>
        </w:rPr>
      </w:pPr>
    </w:p>
    <w:p>
      <w:pPr>
        <w:ind w:right="100" w:firstLine="326"/>
        <w:spacing w:after="0" w:line="239" w:lineRule="auto"/>
        <w:rPr>
          <w:sz w:val="20"/>
          <w:szCs w:val="20"/>
          <w:color w:val="auto"/>
        </w:rPr>
      </w:pPr>
      <w:r>
        <w:rPr>
          <w:rFonts w:ascii="Arial" w:cs="Arial" w:eastAsia="Arial" w:hAnsi="Arial"/>
          <w:sz w:val="12"/>
          <w:szCs w:val="12"/>
          <w:b w:val="1"/>
          <w:bCs w:val="1"/>
          <w:i w:val="1"/>
          <w:iCs w:val="1"/>
          <w:color w:val="auto"/>
        </w:rPr>
        <w:t xml:space="preserve">Trusted Marketplace for Consumers. </w:t>
      </w:r>
      <w:r>
        <w:rPr>
          <w:rFonts w:ascii="Arial" w:cs="Arial" w:eastAsia="Arial" w:hAnsi="Arial"/>
          <w:sz w:val="12"/>
          <w:szCs w:val="12"/>
          <w:color w:val="auto"/>
        </w:rPr>
        <w:t>We provide consumers with unbiased information, intuitive search results, and other tools that empower them to find "Great Deals from Great Dealers." In the United States,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offer the largest online selection of new and used car listings of any major U.S. online automotive marketplace. We aggregate and analyze these listings using proprietary technology and innovative data analytics to create a differentiated automotive search experience for consumers. We believe that providing an unbiased and transparent consumer experience has instilled greater trust in us among our users, helping us become the most visited online automotive marketplace in the United States. In the second quarter of 2017, we experienced over 61 million average monthly sessions in the United States. We define average monthly sessions as the number of distinct visits to our website that take place each month within a given time frame, as measured and defined by Google Analytics. Our focus on the consumer experience is also evidenced by the success of our mobile platform, with over 78% of our monthly unique visitors in the second quarter of 2017 accessing our marketplace through mobile channels. We believe this user traffic and engagement, critical to any successful marketplace, will continue to strengthen our market position.</w:t>
      </w:r>
    </w:p>
    <w:p>
      <w:pPr>
        <w:spacing w:after="0" w:line="128" w:lineRule="exact"/>
        <w:rPr>
          <w:sz w:val="20"/>
          <w:szCs w:val="20"/>
          <w:color w:val="auto"/>
        </w:rPr>
      </w:pPr>
    </w:p>
    <w:p>
      <w:pPr>
        <w:ind w:right="60" w:firstLine="326"/>
        <w:spacing w:after="0"/>
        <w:rPr>
          <w:sz w:val="20"/>
          <w:szCs w:val="20"/>
          <w:color w:val="auto"/>
        </w:rPr>
      </w:pPr>
      <w:r>
        <w:rPr>
          <w:rFonts w:ascii="Arial" w:cs="Arial" w:eastAsia="Arial" w:hAnsi="Arial"/>
          <w:sz w:val="12"/>
          <w:szCs w:val="12"/>
          <w:b w:val="1"/>
          <w:bCs w:val="1"/>
          <w:i w:val="1"/>
          <w:iCs w:val="1"/>
          <w:color w:val="auto"/>
        </w:rPr>
        <w:t xml:space="preserve">Proprietary Search Algorithms and Data-Driven Approach. </w:t>
      </w:r>
      <w:r>
        <w:rPr>
          <w:rFonts w:ascii="Arial" w:cs="Arial" w:eastAsia="Arial" w:hAnsi="Arial"/>
          <w:sz w:val="12"/>
          <w:szCs w:val="12"/>
          <w:color w:val="auto"/>
        </w:rPr>
        <w:t>We have built an extensive repository of data on cars, prices, dealers, and the interactions between consumers and dealers that is the result of over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seven years of data aggregation and regression modeling. Our proprietary search algorithms and data analytics allow us to use this valuable data to bring greater transparency to our platform. The primary product of this analysis is our determination of a used car's IMV, which, in addition to Dealer Rating, drives our Deal Rating. We calculate IMV by applying more than 20 ranking signals and more than 100 normalization rules to millions of data points, including the make, model, trim, features, condition, history, geographic location, and mileage of the car. The growing volume of connections between consumers and dealers on our platform allows us to continually improve the accuracy of our IMV, Dealer Ratings, and used car search results sorted by Deal Rating. We apply the knowledge gained from analyzing this ever-growing data set to build new products for our consumers and dealers and to more efficiently launch marketplaces in new countries.</w:t>
      </w:r>
    </w:p>
    <w:p>
      <w:pPr>
        <w:spacing w:after="0" w:line="127" w:lineRule="exact"/>
        <w:rPr>
          <w:sz w:val="20"/>
          <w:szCs w:val="20"/>
          <w:color w:val="auto"/>
        </w:rPr>
      </w:pPr>
    </w:p>
    <w:p>
      <w:pPr>
        <w:ind w:right="320" w:firstLine="326"/>
        <w:spacing w:after="0" w:line="248" w:lineRule="auto"/>
        <w:rPr>
          <w:sz w:val="20"/>
          <w:szCs w:val="20"/>
          <w:color w:val="auto"/>
        </w:rPr>
      </w:pPr>
      <w:r>
        <w:rPr>
          <w:rFonts w:ascii="Arial" w:cs="Arial" w:eastAsia="Arial" w:hAnsi="Arial"/>
          <w:sz w:val="12"/>
          <w:szCs w:val="12"/>
          <w:b w:val="1"/>
          <w:bCs w:val="1"/>
          <w:i w:val="1"/>
          <w:iCs w:val="1"/>
          <w:color w:val="auto"/>
        </w:rPr>
        <w:t xml:space="preserve">Strong Value Proposition to Dealers. </w:t>
      </w:r>
      <w:r>
        <w:rPr>
          <w:rFonts w:ascii="Arial" w:cs="Arial" w:eastAsia="Arial" w:hAnsi="Arial"/>
          <w:sz w:val="12"/>
          <w:szCs w:val="12"/>
          <w:color w:val="auto"/>
        </w:rPr>
        <w:t>We believe that our marketplace offers an efficient customer acquisition channel for dealers, helping them achieve attractive returns on their marketing spend with us.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2016, we provided our U.S. dealer base with over 42 million connections to prospective car buyers, most of which were for used cars. We define connections as interactions between consumers and dealers in our marketplace through phone calls, email, managed text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right="100"/>
        <w:spacing w:after="0" w:line="237" w:lineRule="auto"/>
        <w:rPr>
          <w:sz w:val="20"/>
          <w:szCs w:val="20"/>
          <w:color w:val="auto"/>
        </w:rPr>
      </w:pPr>
      <w:r>
        <w:rPr>
          <w:rFonts w:ascii="Arial" w:cs="Arial" w:eastAsia="Arial" w:hAnsi="Arial"/>
          <w:sz w:val="12"/>
          <w:szCs w:val="12"/>
          <w:color w:val="auto"/>
        </w:rPr>
        <w:t>chat, and clicks to access the dealer's website and map directions to the dealership. We provide all dealers with tools that are informed by real-time market conditions, which help them merchandise and sell their cars. Our paying dealers also gain access to our Pricing Tool and Market Analysis tool. Our strong value proposition to the dealer community is evidenced by the 66% growth in the number of paying U.S. dealers and 18% growth in average annual revenue per subscribing dealer, or AARSD, in the United States from 2015 to 2016.</w:t>
      </w:r>
    </w:p>
    <w:p>
      <w:pPr>
        <w:spacing w:after="0" w:line="127" w:lineRule="exact"/>
        <w:rPr>
          <w:sz w:val="20"/>
          <w:szCs w:val="20"/>
          <w:color w:val="auto"/>
        </w:rPr>
      </w:pPr>
    </w:p>
    <w:p>
      <w:pPr>
        <w:ind w:right="60" w:firstLine="326"/>
        <w:spacing w:after="0" w:line="266" w:lineRule="auto"/>
        <w:rPr>
          <w:sz w:val="20"/>
          <w:szCs w:val="20"/>
          <w:color w:val="auto"/>
        </w:rPr>
      </w:pPr>
      <w:r>
        <w:rPr>
          <w:rFonts w:ascii="Arial" w:cs="Arial" w:eastAsia="Arial" w:hAnsi="Arial"/>
          <w:sz w:val="11"/>
          <w:szCs w:val="11"/>
          <w:b w:val="1"/>
          <w:bCs w:val="1"/>
          <w:i w:val="1"/>
          <w:iCs w:val="1"/>
          <w:color w:val="auto"/>
        </w:rPr>
        <w:t xml:space="preserve">Network Effects Driven by Scale. </w:t>
      </w:r>
      <w:r>
        <w:rPr>
          <w:rFonts w:ascii="Arial" w:cs="Arial" w:eastAsia="Arial" w:hAnsi="Arial"/>
          <w:sz w:val="11"/>
          <w:szCs w:val="11"/>
          <w:color w:val="auto"/>
        </w:rPr>
        <w:t>Having reached the majority of dealers and built one of the largest consumer audiences in the United States, we believe that our scale creates powerful network effects that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reinforce the competitive strength of our business model. As of June 30, 2017, we had an active dealer network of over 40,000 dealers and a selection of over 5.4 million listings, which helped make us the most visited major U.S. online automotive marketplace in the second quarter of 2017, according to comScore. Our large consumer audience increases our appeal to dealers and incentivizes more dealers to purchase our Enhanced or Featured Listing products to access the numerous benefits unavailable to non-paying dealers. Having more paying dealers in our marketplace provides consumers with more dealer information and methods to contact those dealers. More consumers and connections drive greater value and a higher return to paying dealers' marketing spend on our platform. Driven by these network effects, we continue to amass more data, which we use to further strengthen our search algorithms, the utility of analysis complementing each listing, the quality of our user experience, and the value of connections between consumers and dealers.</w:t>
      </w:r>
    </w:p>
    <w:p>
      <w:pPr>
        <w:spacing w:after="0" w:line="114" w:lineRule="exact"/>
        <w:rPr>
          <w:sz w:val="20"/>
          <w:szCs w:val="20"/>
          <w:color w:val="auto"/>
        </w:rPr>
      </w:pPr>
    </w:p>
    <w:p>
      <w:pPr>
        <w:ind w:left="320"/>
        <w:spacing w:after="0"/>
        <w:tabs>
          <w:tab w:leader="none" w:pos="1900" w:val="left"/>
        </w:tabs>
        <w:rPr>
          <w:sz w:val="20"/>
          <w:szCs w:val="20"/>
          <w:color w:val="auto"/>
        </w:rPr>
      </w:pPr>
      <w:r>
        <w:rPr>
          <w:rFonts w:ascii="Arial" w:cs="Arial" w:eastAsia="Arial" w:hAnsi="Arial"/>
          <w:sz w:val="12"/>
          <w:szCs w:val="12"/>
          <w:b w:val="1"/>
          <w:bCs w:val="1"/>
          <w:i w:val="1"/>
          <w:iCs w:val="1"/>
          <w:color w:val="auto"/>
        </w:rPr>
        <w:t>Attractive Financial Model.</w:t>
      </w:r>
      <w:r>
        <w:rPr>
          <w:sz w:val="20"/>
          <w:szCs w:val="20"/>
          <w:color w:val="auto"/>
        </w:rPr>
        <w:tab/>
      </w:r>
      <w:r>
        <w:rPr>
          <w:rFonts w:ascii="Arial" w:cs="Arial" w:eastAsia="Arial" w:hAnsi="Arial"/>
          <w:sz w:val="11"/>
          <w:szCs w:val="11"/>
          <w:color w:val="auto"/>
        </w:rPr>
        <w:t>We have a strong track record of revenue growth, profitability, and capital efficiency. In 2016, we generated revenue of $198.1 million, a 101% increase from $98.6 million of revenue in</w:t>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2015. A significant portion of our revenue is recurring due to the subscription nature of our products; in 2016, dealer marketplace listing and dealer display advertising subscription revenue, which we consider to be recurring revenue, comprised 86% of total revenue. Furthermore, our revenue base is highly diversified due to the fragmented nature of the automotive dealer industry. We also have been able to grow and invest in our future growth while improving profitability due to the operating leverage in our business model. On a consolidated basis, while our revenue grew 101%, our Adjusted EBITDA margin expanded from 0% in 2015 to 6% in 2016. In the United States, which is our most developed market, we grew our revenue by 99% in 2016 while increasing our income from operations from $0.6 million in 2015 to $27.5 million in 2016.</w:t>
      </w:r>
    </w:p>
    <w:p>
      <w:pPr>
        <w:spacing w:after="0" w:line="125" w:lineRule="exact"/>
        <w:rPr>
          <w:sz w:val="20"/>
          <w:szCs w:val="20"/>
          <w:color w:val="auto"/>
        </w:rPr>
      </w:pPr>
    </w:p>
    <w:p>
      <w:pPr>
        <w:ind w:right="120" w:firstLine="326"/>
        <w:spacing w:after="0" w:line="244" w:lineRule="auto"/>
        <w:rPr>
          <w:sz w:val="20"/>
          <w:szCs w:val="20"/>
          <w:color w:val="auto"/>
        </w:rPr>
      </w:pPr>
      <w:r>
        <w:rPr>
          <w:rFonts w:ascii="Arial" w:cs="Arial" w:eastAsia="Arial" w:hAnsi="Arial"/>
          <w:sz w:val="12"/>
          <w:szCs w:val="12"/>
          <w:b w:val="1"/>
          <w:bCs w:val="1"/>
          <w:i w:val="1"/>
          <w:iCs w:val="1"/>
          <w:color w:val="auto"/>
        </w:rPr>
        <w:t xml:space="preserve">Founder-Led Management Team with Culture of Innovation. </w:t>
      </w:r>
      <w:r>
        <w:rPr>
          <w:rFonts w:ascii="Arial" w:cs="Arial" w:eastAsia="Arial" w:hAnsi="Arial"/>
          <w:sz w:val="12"/>
          <w:szCs w:val="12"/>
          <w:color w:val="auto"/>
        </w:rPr>
        <w:t>Our founder, Chief Executive Officer, President, and Chairman, Langley Steinert, co-founded and was previously chairman of TripAdvisor, an online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marketplace for travel-related content based on the mission of using technology and a data-driven approach to provide transparency for consumers' travel planning. At CarGurus, we are bringing the same transparency to the automotive market. Founded in 2006, CarGurus grew through 2014 using approximately $5 million of outside capital and today we continue to focus on data-driven innovation and financial discipline to build our company.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Growth Strategies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intend to continue to grow our business by pursuing the following strategies:</w:t>
      </w:r>
    </w:p>
    <w:p>
      <w:pPr>
        <w:spacing w:after="0" w:line="127" w:lineRule="exact"/>
        <w:rPr>
          <w:sz w:val="20"/>
          <w:szCs w:val="20"/>
          <w:color w:val="auto"/>
        </w:rPr>
      </w:pPr>
    </w:p>
    <w:p>
      <w:pPr>
        <w:ind w:right="40" w:firstLine="326"/>
        <w:spacing w:after="0" w:line="248" w:lineRule="auto"/>
        <w:rPr>
          <w:sz w:val="20"/>
          <w:szCs w:val="20"/>
          <w:color w:val="auto"/>
        </w:rPr>
      </w:pPr>
      <w:r>
        <w:rPr>
          <w:rFonts w:ascii="Arial" w:cs="Arial" w:eastAsia="Arial" w:hAnsi="Arial"/>
          <w:sz w:val="12"/>
          <w:szCs w:val="12"/>
          <w:b w:val="1"/>
          <w:bCs w:val="1"/>
          <w:i w:val="1"/>
          <w:iCs w:val="1"/>
          <w:color w:val="auto"/>
        </w:rPr>
        <w:t xml:space="preserve">Grow Our Paying U.S. Dealer Base. </w:t>
      </w:r>
      <w:r>
        <w:rPr>
          <w:rFonts w:ascii="Arial" w:cs="Arial" w:eastAsia="Arial" w:hAnsi="Arial"/>
          <w:sz w:val="12"/>
          <w:szCs w:val="12"/>
          <w:color w:val="auto"/>
        </w:rPr>
        <w:t>We plan to convert more dealers to paying dealers in the United States by leveraging our sales and account management teams and demonstrating the value proposition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marketplace as an attractive customer acquisition channel with a compelling ROI. As of June 30, 2017, approximately 57% of dealers in our active dealer network were paying dealers. We will continue to introduce new features and services to our Enhanced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Featured Listing products, such as our recently introduced managed text and chat feature, to further encourage conversion from non-paying to paid usage.</w:t>
      </w:r>
    </w:p>
    <w:p>
      <w:pPr>
        <w:spacing w:after="0" w:line="127" w:lineRule="exact"/>
        <w:rPr>
          <w:sz w:val="20"/>
          <w:szCs w:val="20"/>
          <w:color w:val="auto"/>
        </w:rPr>
      </w:pPr>
    </w:p>
    <w:p>
      <w:pPr>
        <w:ind w:firstLine="326"/>
        <w:spacing w:after="0"/>
        <w:rPr>
          <w:sz w:val="20"/>
          <w:szCs w:val="20"/>
          <w:color w:val="auto"/>
        </w:rPr>
      </w:pPr>
      <w:r>
        <w:rPr>
          <w:rFonts w:ascii="Arial" w:cs="Arial" w:eastAsia="Arial" w:hAnsi="Arial"/>
          <w:sz w:val="12"/>
          <w:szCs w:val="12"/>
          <w:b w:val="1"/>
          <w:bCs w:val="1"/>
          <w:i w:val="1"/>
          <w:iCs w:val="1"/>
          <w:color w:val="auto"/>
        </w:rPr>
        <w:t xml:space="preserve">Increase Our Share of Dealer Marketing Spend From Existing Products. </w:t>
      </w:r>
      <w:r>
        <w:rPr>
          <w:rFonts w:ascii="Arial" w:cs="Arial" w:eastAsia="Arial" w:hAnsi="Arial"/>
          <w:sz w:val="12"/>
          <w:szCs w:val="12"/>
          <w:color w:val="auto"/>
        </w:rPr>
        <w:t>According to comScore, in the second quarter of 2017, we captured 51% of total minutes consumers spent visiting the major U.S. online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automotive marketplaces. However, we believe our average share of dealers' online marketing spend is less than our proportionate share of online consumer traffic on automotive marketplaces. We intend to continue to grow our AARSD by increasing the volume of connections we provide to dealers for new and used cars and demonstrating the value of our large, engaged, and predominantly mobile audience and the attractive return dealers can achieve through higher marketing spend on our platform. For example, we increased the volume of connections provided to our U.S. dealers by over 20% to 12.4 million connections during the second quarter of 2017, compared to 10.3 million connections during the same period in 2016. As we grow our consumer audience and corresponding connections to dealers, we believe dealers will be incentivized to pay more for those increasing connections.</w:t>
      </w:r>
    </w:p>
    <w:p>
      <w:pPr>
        <w:spacing w:after="0" w:line="127" w:lineRule="exact"/>
        <w:rPr>
          <w:sz w:val="20"/>
          <w:szCs w:val="20"/>
          <w:color w:val="auto"/>
        </w:rPr>
      </w:pPr>
    </w:p>
    <w:p>
      <w:pPr>
        <w:ind w:right="160" w:firstLine="326"/>
        <w:spacing w:after="0" w:line="308" w:lineRule="auto"/>
        <w:rPr>
          <w:sz w:val="20"/>
          <w:szCs w:val="20"/>
          <w:color w:val="auto"/>
        </w:rPr>
      </w:pPr>
      <w:r>
        <w:rPr>
          <w:rFonts w:ascii="Arial" w:cs="Arial" w:eastAsia="Arial" w:hAnsi="Arial"/>
          <w:sz w:val="11"/>
          <w:szCs w:val="11"/>
          <w:b w:val="1"/>
          <w:bCs w:val="1"/>
          <w:i w:val="1"/>
          <w:iCs w:val="1"/>
          <w:color w:val="auto"/>
        </w:rPr>
        <w:t xml:space="preserve">Offer Additional Dealer Products. </w:t>
      </w:r>
      <w:r>
        <w:rPr>
          <w:rFonts w:ascii="Arial" w:cs="Arial" w:eastAsia="Arial" w:hAnsi="Arial"/>
          <w:sz w:val="11"/>
          <w:szCs w:val="11"/>
          <w:color w:val="auto"/>
        </w:rPr>
        <w:t>In addition to our current suite of dealer products, we plan to offer new products to help dealers acquire customers, build relationships with prospects, and better manage their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inventories, websites, and dealerships. For example, in 2017, we began offering a digital marketing product that helps dealers more effectively acquire prospects through paid search marketing and retargeting.</w:t>
      </w:r>
    </w:p>
    <w:p>
      <w:pPr>
        <w:spacing w:after="0" w:line="90" w:lineRule="exact"/>
        <w:rPr>
          <w:sz w:val="20"/>
          <w:szCs w:val="20"/>
          <w:color w:val="auto"/>
        </w:rPr>
      </w:pPr>
    </w:p>
    <w:p>
      <w:pPr>
        <w:ind w:firstLine="326"/>
        <w:spacing w:after="0" w:line="248" w:lineRule="auto"/>
        <w:rPr>
          <w:sz w:val="20"/>
          <w:szCs w:val="20"/>
          <w:color w:val="auto"/>
        </w:rPr>
      </w:pPr>
      <w:r>
        <w:rPr>
          <w:rFonts w:ascii="Arial" w:cs="Arial" w:eastAsia="Arial" w:hAnsi="Arial"/>
          <w:sz w:val="12"/>
          <w:szCs w:val="12"/>
          <w:b w:val="1"/>
          <w:bCs w:val="1"/>
          <w:i w:val="1"/>
          <w:iCs w:val="1"/>
          <w:color w:val="auto"/>
        </w:rPr>
        <w:t xml:space="preserve">Grow the Size and Engagement of Our Consumer Audience. </w:t>
      </w:r>
      <w:r>
        <w:rPr>
          <w:rFonts w:ascii="Arial" w:cs="Arial" w:eastAsia="Arial" w:hAnsi="Arial"/>
          <w:sz w:val="12"/>
          <w:szCs w:val="12"/>
          <w:color w:val="auto"/>
        </w:rPr>
        <w:t>We will continue investing in, and improving the efficiency of, our algorithmic traffic acquisition. In addition, we intend to add new features, tools,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to assist consumers with more aspects of the car ownership lifecycle, from researching and buying a car through maintaining and eventually selling their car. For example, we have introduced car comparison pages to help with research, monthly payment calculators to help with buying, and Sell My Car to help individuals with selling their cars.</w:t>
      </w:r>
    </w:p>
    <w:p>
      <w:pPr>
        <w:spacing w:after="0" w:line="122" w:lineRule="exact"/>
        <w:rPr>
          <w:sz w:val="20"/>
          <w:szCs w:val="20"/>
          <w:color w:val="auto"/>
        </w:rPr>
      </w:pPr>
    </w:p>
    <w:p>
      <w:pPr>
        <w:ind w:firstLine="326"/>
        <w:spacing w:after="0" w:line="248" w:lineRule="auto"/>
        <w:rPr>
          <w:sz w:val="20"/>
          <w:szCs w:val="20"/>
          <w:color w:val="auto"/>
        </w:rPr>
      </w:pPr>
      <w:r>
        <w:rPr>
          <w:rFonts w:ascii="Arial" w:cs="Arial" w:eastAsia="Arial" w:hAnsi="Arial"/>
          <w:sz w:val="12"/>
          <w:szCs w:val="12"/>
          <w:b w:val="1"/>
          <w:bCs w:val="1"/>
          <w:i w:val="1"/>
          <w:iCs w:val="1"/>
          <w:color w:val="auto"/>
        </w:rPr>
        <w:t xml:space="preserve">Invest in Our Brand. </w:t>
      </w:r>
      <w:r>
        <w:rPr>
          <w:rFonts w:ascii="Arial" w:cs="Arial" w:eastAsia="Arial" w:hAnsi="Arial"/>
          <w:sz w:val="12"/>
          <w:szCs w:val="12"/>
          <w:color w:val="auto"/>
        </w:rPr>
        <w:t>We have significant opportunities to increase our brand awareness. Historically, our marketing efforts have been focused on algorithmic traffic acquisition rather than brand marketing. We plan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further expand our marketing on television, radio, and social media to drive greater brand recognition, trust, and loyalty from a broader consumer audience. In addition, we believe that a stronger brand will drive greater trust and loyalty with the dealer community.</w:t>
      </w:r>
    </w:p>
    <w:p>
      <w:pPr>
        <w:spacing w:after="0" w:line="122" w:lineRule="exact"/>
        <w:rPr>
          <w:sz w:val="20"/>
          <w:szCs w:val="20"/>
          <w:color w:val="auto"/>
        </w:rPr>
      </w:pPr>
    </w:p>
    <w:p>
      <w:pPr>
        <w:ind w:right="60" w:firstLine="326"/>
        <w:spacing w:after="0" w:line="241" w:lineRule="auto"/>
        <w:rPr>
          <w:sz w:val="20"/>
          <w:szCs w:val="20"/>
          <w:color w:val="auto"/>
        </w:rPr>
      </w:pPr>
      <w:r>
        <w:rPr>
          <w:rFonts w:ascii="Arial" w:cs="Arial" w:eastAsia="Arial" w:hAnsi="Arial"/>
          <w:sz w:val="12"/>
          <w:szCs w:val="12"/>
          <w:b w:val="1"/>
          <w:bCs w:val="1"/>
          <w:i w:val="1"/>
          <w:iCs w:val="1"/>
          <w:color w:val="auto"/>
        </w:rPr>
        <w:t xml:space="preserve">Expand into International Markets. </w:t>
      </w:r>
      <w:r>
        <w:rPr>
          <w:rFonts w:ascii="Arial" w:cs="Arial" w:eastAsia="Arial" w:hAnsi="Arial"/>
          <w:sz w:val="12"/>
          <w:szCs w:val="12"/>
          <w:color w:val="auto"/>
        </w:rPr>
        <w:t>Enabled by our proprietary algorithms and data analytics, our flexible and extensible search platform has allowed us to launch marketplaces in Canada, the United Kingdom,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Germany. We have designed our platform to accommodate a growing list of tools that allows us to support country-specific requirements and vehicle data across multiple formats and countries. By leveraging these strengths, as well as our selling and marketing expertise, we plan to launch new marketplaces in other countries that have attractive industry dynamics. There are over 60,000 dealers in the international markets where we have launched or plan to launch in the next twelve months. In 2016, we generated international revenue of $2.3 million, which accounted for 1% of our total revenue, compared to approximately $22,000, which accounted for a negligible percentage of our total revenue in 2015.</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Consumer Marketplace</w:t>
      </w:r>
    </w:p>
    <w:p>
      <w:pPr>
        <w:spacing w:after="0" w:line="155" w:lineRule="exact"/>
        <w:rPr>
          <w:sz w:val="20"/>
          <w:szCs w:val="20"/>
          <w:color w:val="auto"/>
        </w:rPr>
      </w:pPr>
    </w:p>
    <w:p>
      <w:pPr>
        <w:ind w:right="440" w:firstLine="326"/>
        <w:spacing w:after="0" w:line="239" w:lineRule="auto"/>
        <w:rPr>
          <w:sz w:val="20"/>
          <w:szCs w:val="20"/>
          <w:color w:val="auto"/>
        </w:rPr>
      </w:pPr>
      <w:r>
        <w:rPr>
          <w:rFonts w:ascii="Arial" w:cs="Arial" w:eastAsia="Arial" w:hAnsi="Arial"/>
          <w:sz w:val="12"/>
          <w:szCs w:val="12"/>
          <w:color w:val="auto"/>
        </w:rPr>
        <w:t>We provide consumers an online automotive marketplace where they can search for new and used car listings from our dealers, as well as sell their car. Through our marketplace, we provide consumers with information that helps them find the most relevant car for their needs. A user accesses our U.S. marketplace through our desktop or mobile-optimized website at cargurus.com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or by using our mobile app. Most users specify whether they are searching for used, certified pre-owned, or new cars and then provide their desired vehicle make and model and their zip code.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Used and Certified Pre-Owned Cars</w:t>
      </w:r>
    </w:p>
    <w:p>
      <w:pPr>
        <w:spacing w:after="0" w:line="153" w:lineRule="exact"/>
        <w:rPr>
          <w:sz w:val="20"/>
          <w:szCs w:val="20"/>
          <w:color w:val="auto"/>
        </w:rPr>
      </w:pPr>
    </w:p>
    <w:p>
      <w:pPr>
        <w:ind w:right="160" w:firstLine="326"/>
        <w:spacing w:after="0" w:line="237" w:lineRule="auto"/>
        <w:rPr>
          <w:sz w:val="20"/>
          <w:szCs w:val="20"/>
          <w:color w:val="auto"/>
        </w:rPr>
      </w:pPr>
      <w:r>
        <w:rPr>
          <w:rFonts w:ascii="Arial" w:cs="Arial" w:eastAsia="Arial" w:hAnsi="Arial"/>
          <w:sz w:val="12"/>
          <w:szCs w:val="12"/>
          <w:color w:val="auto"/>
        </w:rPr>
        <w:t>Using our proprietary search algorithms, we immediately display the search results, ranked by Deal Rating, on an SRP. Nearly every used listing in our marketplace is assigned one of five Deal Ratings: Great Deal, Good Deal, Fair Deal, High Priced, or Overpriced. Deal Rating illustrates how competitive a listing is compared to the most similar cars sold in the same region in recent history. A listing's Deal Rating is based primarily upon our IMV and the Dealer Rating of the dealer.</w:t>
      </w:r>
    </w:p>
    <w:p>
      <w:pPr>
        <w:spacing w:after="0" w:line="129" w:lineRule="exact"/>
        <w:rPr>
          <w:sz w:val="20"/>
          <w:szCs w:val="20"/>
          <w:color w:val="auto"/>
        </w:rPr>
      </w:pPr>
    </w:p>
    <w:p>
      <w:pPr>
        <w:ind w:right="140" w:firstLine="326"/>
        <w:spacing w:after="0" w:line="243" w:lineRule="auto"/>
        <w:rPr>
          <w:sz w:val="20"/>
          <w:szCs w:val="20"/>
          <w:color w:val="auto"/>
        </w:rPr>
      </w:pPr>
      <w:r>
        <w:rPr>
          <w:rFonts w:ascii="Arial" w:cs="Arial" w:eastAsia="Arial" w:hAnsi="Arial"/>
          <w:sz w:val="12"/>
          <w:szCs w:val="12"/>
          <w:i w:val="1"/>
          <w:iCs w:val="1"/>
          <w:color w:val="auto"/>
        </w:rPr>
        <w:t xml:space="preserve">Instant Market Value. </w:t>
      </w:r>
      <w:r>
        <w:rPr>
          <w:rFonts w:ascii="Arial" w:cs="Arial" w:eastAsia="Arial" w:hAnsi="Arial"/>
          <w:sz w:val="12"/>
          <w:szCs w:val="12"/>
          <w:color w:val="auto"/>
        </w:rPr>
        <w:t>IMV is a proprietary algorithm that determines the market value of a used vehicle in a local market and is a key input for determining a vehicle's Deal Rating. The IMV algorithm is the product</w:t>
      </w:r>
      <w:r>
        <w:rPr>
          <w:rFonts w:ascii="Arial" w:cs="Arial" w:eastAsia="Arial" w:hAnsi="Arial"/>
          <w:sz w:val="12"/>
          <w:szCs w:val="12"/>
          <w:i w:val="1"/>
          <w:iCs w:val="1"/>
          <w:color w:val="auto"/>
        </w:rPr>
        <w:t xml:space="preserve"> </w:t>
      </w:r>
      <w:r>
        <w:rPr>
          <w:rFonts w:ascii="Arial" w:cs="Arial" w:eastAsia="Arial" w:hAnsi="Arial"/>
          <w:sz w:val="12"/>
          <w:szCs w:val="12"/>
          <w:color w:val="auto"/>
        </w:rPr>
        <w:t>of over seven years of regression modeling utilizing more than seven million used car data points. IMV takes into account a number of factors, including comparable currently listed and previously sold used cars in respective local markets and vehicle details including make, model, trim, year, mileage, options, and vehicle history. Our algorithm uses more than 20 ranking signals and more than 100 normalization rules that distill unstructured data from hundreds of sources across thousands of dealers.</w:t>
      </w:r>
    </w:p>
    <w:p>
      <w:pPr>
        <w:spacing w:after="0" w:line="126" w:lineRule="exact"/>
        <w:rPr>
          <w:sz w:val="20"/>
          <w:szCs w:val="20"/>
          <w:color w:val="auto"/>
        </w:rPr>
      </w:pPr>
    </w:p>
    <w:p>
      <w:pPr>
        <w:ind w:firstLine="326"/>
        <w:spacing w:after="0" w:line="247" w:lineRule="auto"/>
        <w:rPr>
          <w:sz w:val="20"/>
          <w:szCs w:val="20"/>
          <w:color w:val="auto"/>
        </w:rPr>
      </w:pPr>
      <w:r>
        <w:rPr>
          <w:rFonts w:ascii="Arial" w:cs="Arial" w:eastAsia="Arial" w:hAnsi="Arial"/>
          <w:sz w:val="12"/>
          <w:szCs w:val="12"/>
          <w:i w:val="1"/>
          <w:iCs w:val="1"/>
          <w:color w:val="auto"/>
        </w:rPr>
        <w:t xml:space="preserve">Dealer Ratings. </w:t>
      </w:r>
      <w:r>
        <w:rPr>
          <w:rFonts w:ascii="Arial" w:cs="Arial" w:eastAsia="Arial" w:hAnsi="Arial"/>
          <w:sz w:val="12"/>
          <w:szCs w:val="12"/>
          <w:color w:val="auto"/>
        </w:rPr>
        <w:t>Dealer Ratings are unique user-generated content from our users' experiences with dealers with whom they have connected. To promote high-quality reviews, a user must have interacted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dealer on our site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135" w:lineRule="exact"/>
        <w:rPr>
          <w:sz w:val="20"/>
          <w:szCs w:val="20"/>
          <w:color w:val="auto"/>
        </w:rPr>
      </w:pPr>
    </w:p>
    <w:p>
      <w:pPr>
        <w:ind w:right="80" w:firstLine="326"/>
        <w:spacing w:after="0" w:line="236" w:lineRule="auto"/>
        <w:rPr>
          <w:sz w:val="20"/>
          <w:szCs w:val="20"/>
          <w:color w:val="auto"/>
        </w:rPr>
      </w:pPr>
      <w:r>
        <w:rPr>
          <w:rFonts w:ascii="Arial" w:cs="Arial" w:eastAsia="Arial" w:hAnsi="Arial"/>
          <w:sz w:val="12"/>
          <w:szCs w:val="12"/>
          <w:color w:val="auto"/>
        </w:rPr>
        <w:t>In addition to each car's Deal Rating, our SRP provides users with other useful information, including the difference between the listing price and the IMV that we have determined for the car, Time on Site, mileage, Dealer Rating, and, for paying dealers, dealer location. We provide in-depth search filters, including price, mileage, trim, color, options, condition, body style, miles per gallon, seating capacity, vehicle ownership and usage history, seller type, and days on market, among others, which we believe represents the most comprehensive search capability among major U.S. online automotive marketplaces. We also provide our users with additional features to aid their search, including similar vehicle recommendations, side-by-side vehicle comparisons, expert reviews, and user rankings. The SRP also gives users the ability to save searches and receive alerts that keep them informed of relevant developments in the market, including new available inventory and price changes to cars they are monitoring.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right"/>
        <w:ind w:right="3799"/>
        <w:spacing w:after="0"/>
        <w:rPr>
          <w:sz w:val="20"/>
          <w:szCs w:val="20"/>
          <w:color w:val="auto"/>
        </w:rPr>
      </w:pPr>
      <w:r>
        <w:rPr>
          <w:rFonts w:ascii="Arial" w:cs="Arial" w:eastAsia="Arial" w:hAnsi="Arial"/>
          <w:sz w:val="12"/>
          <w:szCs w:val="12"/>
          <w:b w:val="1"/>
          <w:bCs w:val="1"/>
          <w:color w:val="auto"/>
        </w:rPr>
        <w:t>Used Car SRP — Desktop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97155</wp:posOffset>
            </wp:positionV>
            <wp:extent cx="3877945" cy="2836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7945" cy="283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Used Car SRP —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97155</wp:posOffset>
            </wp:positionV>
            <wp:extent cx="2510790" cy="27451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10790" cy="274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326"/>
        <w:spacing w:after="0" w:line="239" w:lineRule="auto"/>
        <w:rPr>
          <w:sz w:val="20"/>
          <w:szCs w:val="20"/>
          <w:color w:val="auto"/>
        </w:rPr>
      </w:pPr>
      <w:r>
        <w:rPr>
          <w:rFonts w:ascii="Arial" w:cs="Arial" w:eastAsia="Arial" w:hAnsi="Arial"/>
          <w:sz w:val="12"/>
          <w:szCs w:val="12"/>
          <w:color w:val="auto"/>
        </w:rPr>
        <w:t>If a user clicks on one of the listings on the SRP, the user is taken to that listing's vehicle detail page, or VDP. Each VDP provides extensive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127" w:lineRule="exact"/>
        <w:rPr>
          <w:sz w:val="20"/>
          <w:szCs w:val="20"/>
          <w:color w:val="auto"/>
        </w:rPr>
      </w:pPr>
    </w:p>
    <w:p>
      <w:pPr>
        <w:ind w:left="720" w:hanging="368"/>
        <w:spacing w:after="0" w:line="259" w:lineRule="auto"/>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Price History. </w:t>
      </w:r>
      <w:r>
        <w:rPr>
          <w:rFonts w:ascii="Arial" w:cs="Arial" w:eastAsia="Arial" w:hAnsi="Arial"/>
          <w:sz w:val="12"/>
          <w:szCs w:val="12"/>
          <w:color w:val="auto"/>
        </w:rPr>
        <w:t>Information about changes to a vehicle's price on our site. We also offer price change alerts to consumers on searches they have saved, which allows them to respond quickly to changes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market.</w:t>
      </w:r>
    </w:p>
    <w:p>
      <w:pPr>
        <w:spacing w:after="0" w:line="116" w:lineRule="exact"/>
        <w:rPr>
          <w:rFonts w:ascii="Arial" w:cs="Arial" w:eastAsia="Arial" w:hAnsi="Arial"/>
          <w:sz w:val="12"/>
          <w:szCs w:val="12"/>
          <w:color w:val="auto"/>
        </w:rPr>
      </w:pPr>
    </w:p>
    <w:p>
      <w:pPr>
        <w:ind w:left="720" w:hanging="368"/>
        <w:spacing w:after="0"/>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Time on Site. </w:t>
      </w:r>
      <w:r>
        <w:rPr>
          <w:rFonts w:ascii="Arial" w:cs="Arial" w:eastAsia="Arial" w:hAnsi="Arial"/>
          <w:sz w:val="12"/>
          <w:szCs w:val="12"/>
          <w:color w:val="auto"/>
        </w:rPr>
        <w:t>How long a vehicle has been on our site and how many users have saved the vehicle to their list of favorite listings, indicators of the likely demand for the car.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Vehicle History. </w:t>
      </w:r>
      <w:r>
        <w:rPr>
          <w:rFonts w:ascii="Arial" w:cs="Arial" w:eastAsia="Arial" w:hAnsi="Arial"/>
          <w:sz w:val="12"/>
          <w:szCs w:val="12"/>
          <w:color w:val="auto"/>
        </w:rPr>
        <w:t>Includes title check, accident check, owner number, and fleet status of the vehicle, giving consumers data that helps them better understand the car's condition.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2" w:right="27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right"/>
        <w:ind w:right="3799"/>
        <w:spacing w:after="0"/>
        <w:rPr>
          <w:sz w:val="20"/>
          <w:szCs w:val="20"/>
          <w:color w:val="auto"/>
        </w:rPr>
      </w:pPr>
      <w:r>
        <w:rPr>
          <w:rFonts w:ascii="Arial" w:cs="Arial" w:eastAsia="Arial" w:hAnsi="Arial"/>
          <w:sz w:val="12"/>
          <w:szCs w:val="12"/>
          <w:b w:val="1"/>
          <w:bCs w:val="1"/>
          <w:color w:val="auto"/>
        </w:rPr>
        <w:t>Used Car VDP — Desktop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97155</wp:posOffset>
            </wp:positionV>
            <wp:extent cx="2951480" cy="2922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514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Used Car VDP —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285750</wp:posOffset>
            </wp:positionV>
            <wp:extent cx="2613660" cy="32429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1366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Cars</w:t>
      </w:r>
    </w:p>
    <w:p>
      <w:pPr>
        <w:spacing w:after="0" w:line="153" w:lineRule="exact"/>
        <w:rPr>
          <w:sz w:val="20"/>
          <w:szCs w:val="20"/>
          <w:color w:val="auto"/>
        </w:rPr>
      </w:pPr>
    </w:p>
    <w:p>
      <w:pPr>
        <w:ind w:right="140" w:firstLine="326"/>
        <w:spacing w:after="0" w:line="237" w:lineRule="auto"/>
        <w:rPr>
          <w:sz w:val="20"/>
          <w:szCs w:val="20"/>
          <w:color w:val="auto"/>
        </w:rPr>
      </w:pPr>
      <w:r>
        <w:rPr>
          <w:rFonts w:ascii="Arial" w:cs="Arial" w:eastAsia="Arial" w:hAnsi="Arial"/>
          <w:sz w:val="12"/>
          <w:szCs w:val="12"/>
          <w:color w:val="auto"/>
        </w:rPr>
        <w:t>Search results for new car listings are sorted by proximity of dealers with inventory matching the user's search. Our new car VDPs include our Dealer Rating and many of the other features of our used car listings, such as Price History and Time on Site. Deal Rating is not applicable to new car listings because it utilizes data not relevant to new cars. Instead, we analyze data on MSRPs and recent sales of similar new vehicles, accounting for trade-ins, incentives, and other factors that can affect the price of a new car, to provide users with comparative price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 My Car</w:t>
      </w:r>
    </w:p>
    <w:p>
      <w:pPr>
        <w:spacing w:after="0" w:line="153"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We also allow our users to list their cars for free in our marketplace. Our Sell My Car tools enable individual car owners to easily merchandise their vehicles, determine an appropriate selling price with our proprietary price guidance, and manage their listings and communications with prospective buyers among our audience.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2" w:right="279" w:bottom="1440" w:gutter="0" w:footer="0" w:header="0"/>
        </w:sectPr>
      </w:pPr>
    </w:p>
    <w:bookmarkStart w:id="106" w:name="page107"/>
    <w:bookmarkEnd w:id="10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Dealer Marketplace</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Our marketplace connects dealers to a large audience of informed and engaged consumers. We offer three types of marketplace Listing products to our dealers: Basic Listing, which is free, and Enhanced or Featured Listing, each of which requires a paid subscription. We price our Enhanced and Featured Listing products as a monthly, quarterly, semiannual, or annual subscription based on the dealer's inventory size, region, and our assessment of the ROI our solution will provide them.</w:t>
      </w:r>
    </w:p>
    <w:p>
      <w:pPr>
        <w:spacing w:after="0" w:line="129" w:lineRule="exact"/>
        <w:rPr>
          <w:sz w:val="20"/>
          <w:szCs w:val="20"/>
          <w:color w:val="auto"/>
        </w:rPr>
      </w:pPr>
    </w:p>
    <w:p>
      <w:pPr>
        <w:ind w:left="720" w:right="260" w:hanging="368"/>
        <w:spacing w:after="0" w:line="259" w:lineRule="auto"/>
        <w:tabs>
          <w:tab w:leader="none" w:pos="72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Basic Listing. </w:t>
      </w:r>
      <w:r>
        <w:rPr>
          <w:rFonts w:ascii="Arial" w:cs="Arial" w:eastAsia="Arial" w:hAnsi="Arial"/>
          <w:sz w:val="12"/>
          <w:szCs w:val="12"/>
          <w:color w:val="auto"/>
        </w:rPr>
        <w:t>Basic Listing allows non-paying dealers to list their inventory in our marketplace anonymously. Consumers can contact these dealers only through an anonymous, CarGurus-branded email</w:t>
      </w:r>
      <w:r>
        <w:rPr>
          <w:rFonts w:ascii="Arial" w:cs="Arial" w:eastAsia="Arial" w:hAnsi="Arial"/>
          <w:sz w:val="12"/>
          <w:szCs w:val="12"/>
          <w:i w:val="1"/>
          <w:iCs w:val="1"/>
          <w:color w:val="auto"/>
        </w:rPr>
        <w:t xml:space="preserve"> </w:t>
      </w:r>
      <w:r>
        <w:rPr>
          <w:rFonts w:ascii="Arial" w:cs="Arial" w:eastAsia="Arial" w:hAnsi="Arial"/>
          <w:sz w:val="12"/>
          <w:szCs w:val="12"/>
          <w:color w:val="auto"/>
        </w:rPr>
        <w:t>address so the dealer does not receive any of the consumer's personal contact information. Non-paying dealers cannot display their name, address, website URL, or phone number.</w:t>
      </w:r>
    </w:p>
    <w:p>
      <w:pPr>
        <w:spacing w:after="0" w:line="116" w:lineRule="exact"/>
        <w:rPr>
          <w:rFonts w:ascii="Arial" w:cs="Arial" w:eastAsia="Arial" w:hAnsi="Arial"/>
          <w:sz w:val="12"/>
          <w:szCs w:val="12"/>
          <w:color w:val="auto"/>
        </w:rPr>
      </w:pPr>
    </w:p>
    <w:p>
      <w:pPr>
        <w:ind w:left="720" w:hanging="368"/>
        <w:spacing w:after="0" w:line="247" w:lineRule="auto"/>
        <w:tabs>
          <w:tab w:leader="none" w:pos="72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Enhanced Listing. </w:t>
      </w:r>
      <w:r>
        <w:rPr>
          <w:rFonts w:ascii="Arial" w:cs="Arial" w:eastAsia="Arial" w:hAnsi="Arial"/>
          <w:sz w:val="12"/>
          <w:szCs w:val="12"/>
          <w:color w:val="auto"/>
        </w:rPr>
        <w:t>Enhanced Listing provides dealers with a higher volume and quality of connections to consumers. Dealers with an Enhanced Listing gain the opportunity to connect with consumers directly</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email, phone, and managed text and chat. Our platform also allows paying dealers to provide a link to their website, dealership information such as name, address, and hours of operation, and map directions to their dealership on VDPs, helping consumers easily contact or visit them, which we believe results in increased local brand awareness and walk-in traffic.</w:t>
      </w:r>
    </w:p>
    <w:p>
      <w:pPr>
        <w:spacing w:after="0" w:line="114" w:lineRule="exact"/>
        <w:rPr>
          <w:rFonts w:ascii="Arial" w:cs="Arial" w:eastAsia="Arial" w:hAnsi="Arial"/>
          <w:sz w:val="12"/>
          <w:szCs w:val="12"/>
          <w:color w:val="auto"/>
        </w:rPr>
      </w:pPr>
    </w:p>
    <w:p>
      <w:pPr>
        <w:ind w:left="720" w:hanging="368"/>
        <w:spacing w:after="0" w:line="247" w:lineRule="auto"/>
        <w:tabs>
          <w:tab w:leader="none" w:pos="72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Featured Listing. </w:t>
      </w:r>
      <w:r>
        <w:rPr>
          <w:rFonts w:ascii="Arial" w:cs="Arial" w:eastAsia="Arial" w:hAnsi="Arial"/>
          <w:sz w:val="12"/>
          <w:szCs w:val="12"/>
          <w:color w:val="auto"/>
        </w:rPr>
        <w:t>In addition to all of the benefits of the Enhanced Listing subscription discussed above, Featured Listing dealers pay a premium subscription rate to promote their Great Deal, Good Deal, and</w:t>
      </w:r>
      <w:r>
        <w:rPr>
          <w:rFonts w:ascii="Arial" w:cs="Arial" w:eastAsia="Arial" w:hAnsi="Arial"/>
          <w:sz w:val="12"/>
          <w:szCs w:val="12"/>
          <w:i w:val="1"/>
          <w:iCs w:val="1"/>
          <w:color w:val="auto"/>
        </w:rPr>
        <w:t xml:space="preserve"> </w:t>
      </w:r>
      <w:r>
        <w:rPr>
          <w:rFonts w:ascii="Arial" w:cs="Arial" w:eastAsia="Arial" w:hAnsi="Arial"/>
          <w:sz w:val="12"/>
          <w:szCs w:val="12"/>
          <w:color w:val="auto"/>
        </w:rPr>
        <w:t>Fair Deal inventory in a clearly labeled section of a limited number of Featured listings at the top of the search results page. We believe this premium placement generates increased connection volume relative to Enhanced Listing.</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Dealer Dashboard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Basic, Enhanced, and Featured Listing dealers all have access to the following Dealer Dashboard features and tools:</w:t>
      </w:r>
    </w:p>
    <w:p>
      <w:pPr>
        <w:spacing w:after="0" w:line="129" w:lineRule="exact"/>
        <w:rPr>
          <w:sz w:val="20"/>
          <w:szCs w:val="20"/>
          <w:color w:val="auto"/>
        </w:rPr>
      </w:pPr>
    </w:p>
    <w:p>
      <w:pPr>
        <w:ind w:left="720" w:right="440" w:hanging="368"/>
        <w:spacing w:after="0" w:line="259"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i w:val="1"/>
          <w:iCs w:val="1"/>
          <w:color w:val="auto"/>
        </w:rPr>
        <w:t xml:space="preserve">Performance Summary. </w:t>
      </w:r>
      <w:r>
        <w:rPr>
          <w:rFonts w:ascii="Arial" w:cs="Arial" w:eastAsia="Arial" w:hAnsi="Arial"/>
          <w:sz w:val="12"/>
          <w:szCs w:val="12"/>
          <w:color w:val="auto"/>
        </w:rPr>
        <w:t>Provides dealers with real-time and historical data analyzing the connections and consumer exposure they have received in our marketplace. This enables dealers to analyze</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connections and SRP and VDP views at a granular level to inform the dealer's sales and merchandising efforts.</w:t>
      </w:r>
    </w:p>
    <w:p>
      <w:pPr>
        <w:spacing w:after="0" w:line="116" w:lineRule="exact"/>
        <w:rPr>
          <w:rFonts w:ascii="Arial" w:cs="Arial" w:eastAsia="Arial" w:hAnsi="Arial"/>
          <w:sz w:val="12"/>
          <w:szCs w:val="12"/>
          <w:color w:val="auto"/>
        </w:rPr>
      </w:pPr>
    </w:p>
    <w:p>
      <w:pPr>
        <w:ind w:left="720" w:right="340" w:hanging="368"/>
        <w:spacing w:after="0" w:line="259"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i w:val="1"/>
          <w:iCs w:val="1"/>
          <w:color w:val="auto"/>
        </w:rPr>
        <w:t xml:space="preserve">Dealer Insights. </w:t>
      </w:r>
      <w:r>
        <w:rPr>
          <w:rFonts w:ascii="Arial" w:cs="Arial" w:eastAsia="Arial" w:hAnsi="Arial"/>
          <w:sz w:val="12"/>
          <w:szCs w:val="12"/>
          <w:color w:val="auto"/>
        </w:rPr>
        <w:t>Provides pricing analysis of the dealer's inventory, as well as a summary of vehicles' missing information such as price, photos, or trim. This data helps dealers better merchandise their</w:t>
      </w:r>
      <w:r>
        <w:rPr>
          <w:rFonts w:ascii="Arial" w:cs="Arial" w:eastAsia="Arial" w:hAnsi="Arial"/>
          <w:sz w:val="12"/>
          <w:szCs w:val="12"/>
          <w:i w:val="1"/>
          <w:iCs w:val="1"/>
          <w:color w:val="auto"/>
        </w:rPr>
        <w:t xml:space="preserve"> </w:t>
      </w:r>
      <w:r>
        <w:rPr>
          <w:rFonts w:ascii="Arial" w:cs="Arial" w:eastAsia="Arial" w:hAnsi="Arial"/>
          <w:sz w:val="12"/>
          <w:szCs w:val="12"/>
          <w:color w:val="auto"/>
        </w:rPr>
        <w:t>vehicles.</w:t>
      </w:r>
    </w:p>
    <w:p>
      <w:pPr>
        <w:spacing w:after="0" w:line="107" w:lineRule="exact"/>
        <w:rPr>
          <w:rFonts w:ascii="Arial" w:cs="Arial" w:eastAsia="Arial" w:hAnsi="Arial"/>
          <w:sz w:val="12"/>
          <w:szCs w:val="12"/>
          <w:color w:val="auto"/>
        </w:rPr>
      </w:pPr>
    </w:p>
    <w:p>
      <w:pPr>
        <w:ind w:left="720" w:right="180" w:hanging="368"/>
        <w:spacing w:after="0" w:line="259"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i w:val="1"/>
          <w:iCs w:val="1"/>
          <w:color w:val="auto"/>
        </w:rPr>
        <w:t xml:space="preserve">User Review Management. </w:t>
      </w:r>
      <w:r>
        <w:rPr>
          <w:rFonts w:ascii="Arial" w:cs="Arial" w:eastAsia="Arial" w:hAnsi="Arial"/>
          <w:sz w:val="12"/>
          <w:szCs w:val="12"/>
          <w:color w:val="auto"/>
        </w:rPr>
        <w:t>Allows dealers to track and manage their dealership reviews from our users. Dealers can respond to users, report potentially fraudulent reviews, and publish positive reviews to</w:t>
      </w:r>
      <w:r>
        <w:rPr>
          <w:rFonts w:ascii="Arial" w:cs="Arial" w:eastAsia="Arial" w:hAnsi="Arial"/>
          <w:sz w:val="12"/>
          <w:szCs w:val="12"/>
          <w:i w:val="1"/>
          <w:iCs w:val="1"/>
          <w:color w:val="auto"/>
        </w:rPr>
        <w:t xml:space="preserve"> </w:t>
      </w:r>
      <w:r>
        <w:rPr>
          <w:rFonts w:ascii="Arial" w:cs="Arial" w:eastAsia="Arial" w:hAnsi="Arial"/>
          <w:sz w:val="12"/>
          <w:szCs w:val="12"/>
          <w:color w:val="auto"/>
        </w:rPr>
        <w:t>social media platforms for broader exposure.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Enhanced and Featured Listing dealers also have access to the following additional features and tools:</w:t>
      </w:r>
    </w:p>
    <w:p>
      <w:pPr>
        <w:spacing w:after="0" w:line="129" w:lineRule="exact"/>
        <w:rPr>
          <w:sz w:val="20"/>
          <w:szCs w:val="20"/>
          <w:color w:val="auto"/>
        </w:rPr>
      </w:pPr>
    </w:p>
    <w:p>
      <w:pPr>
        <w:ind w:left="720" w:right="240" w:hanging="368"/>
        <w:spacing w:after="0" w:line="259" w:lineRule="auto"/>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Pricing Tool. </w:t>
      </w:r>
      <w:r>
        <w:rPr>
          <w:rFonts w:ascii="Arial" w:cs="Arial" w:eastAsia="Arial" w:hAnsi="Arial"/>
          <w:sz w:val="12"/>
          <w:szCs w:val="12"/>
          <w:color w:val="auto"/>
        </w:rPr>
        <w:t>Helps dealers evaluate the impact of pricing changes for each used vehicle in their inventory and the resulting impact on the car's Deal Rating, empowering dealers to make informed pricing</w:t>
      </w:r>
      <w:r>
        <w:rPr>
          <w:rFonts w:ascii="Arial" w:cs="Arial" w:eastAsia="Arial" w:hAnsi="Arial"/>
          <w:sz w:val="12"/>
          <w:szCs w:val="12"/>
          <w:i w:val="1"/>
          <w:iCs w:val="1"/>
          <w:color w:val="auto"/>
        </w:rPr>
        <w:t xml:space="preserve"> </w:t>
      </w:r>
      <w:r>
        <w:rPr>
          <w:rFonts w:ascii="Arial" w:cs="Arial" w:eastAsia="Arial" w:hAnsi="Arial"/>
          <w:sz w:val="12"/>
          <w:szCs w:val="12"/>
          <w:color w:val="auto"/>
        </w:rPr>
        <w:t>decisions based on market data in their local area.</w:t>
      </w:r>
    </w:p>
    <w:p>
      <w:pPr>
        <w:spacing w:after="0" w:line="116" w:lineRule="exact"/>
        <w:rPr>
          <w:rFonts w:ascii="Arial" w:cs="Arial" w:eastAsia="Arial" w:hAnsi="Arial"/>
          <w:sz w:val="12"/>
          <w:szCs w:val="12"/>
          <w:color w:val="auto"/>
        </w:rPr>
      </w:pPr>
    </w:p>
    <w:p>
      <w:pPr>
        <w:ind w:left="720" w:hanging="368"/>
        <w:spacing w:after="0"/>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Market Analysis. </w:t>
      </w:r>
      <w:r>
        <w:rPr>
          <w:rFonts w:ascii="Arial" w:cs="Arial" w:eastAsia="Arial" w:hAnsi="Arial"/>
          <w:sz w:val="12"/>
          <w:szCs w:val="12"/>
          <w:color w:val="auto"/>
        </w:rPr>
        <w:t>Informs dealers of local market trends in used cars, such as the most searched makes and models in their local market. This information helps dealers align with</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07" w:name="page108"/>
    <w:bookmarkEnd w:id="107"/>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8"/>
        <w:spacing w:after="0"/>
        <w:rPr>
          <w:sz w:val="20"/>
          <w:szCs w:val="20"/>
          <w:color w:val="auto"/>
        </w:rPr>
      </w:pPr>
      <w:r>
        <w:rPr>
          <w:rFonts w:ascii="Arial" w:cs="Arial" w:eastAsia="Arial" w:hAnsi="Arial"/>
          <w:sz w:val="12"/>
          <w:szCs w:val="12"/>
          <w:color w:val="auto"/>
        </w:rPr>
        <w:t>local consumer preferences and inform strategies for increasing inventory turnover and new vehicle acquisition.</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Dealer Advertising and Customer Acquisition Products</w:t>
      </w:r>
    </w:p>
    <w:p>
      <w:pPr>
        <w:spacing w:after="0" w:line="155" w:lineRule="exact"/>
        <w:rPr>
          <w:sz w:val="20"/>
          <w:szCs w:val="20"/>
          <w:color w:val="auto"/>
        </w:rPr>
      </w:pPr>
    </w:p>
    <w:p>
      <w:pPr>
        <w:ind w:left="8" w:right="20" w:firstLine="326"/>
        <w:spacing w:after="0" w:line="239" w:lineRule="auto"/>
        <w:rPr>
          <w:sz w:val="20"/>
          <w:szCs w:val="20"/>
          <w:color w:val="auto"/>
        </w:rPr>
      </w:pPr>
      <w:r>
        <w:rPr>
          <w:rFonts w:ascii="Arial" w:cs="Arial" w:eastAsia="Arial" w:hAnsi="Arial"/>
          <w:sz w:val="12"/>
          <w:szCs w:val="12"/>
          <w:color w:val="auto"/>
        </w:rPr>
        <w:t>In addition to listing cars in our marketplace, we also provide all dealers with a web widget that allows them to place Deal Rating Badges, which show our unbiased Deal Rating next to cars that have been rated as a Great Deal, Good Deal, or Fair Deal, on their own website. Our Deal Rating serves as trusted, third-party validation on their website.</w:t>
      </w:r>
    </w:p>
    <w:p>
      <w:pPr>
        <w:spacing w:after="0" w:line="139" w:lineRule="exact"/>
        <w:rPr>
          <w:sz w:val="20"/>
          <w:szCs w:val="20"/>
          <w:color w:val="auto"/>
        </w:rPr>
      </w:pPr>
    </w:p>
    <w:p>
      <w:pPr>
        <w:ind w:left="328"/>
        <w:spacing w:after="0"/>
        <w:rPr>
          <w:sz w:val="20"/>
          <w:szCs w:val="20"/>
          <w:color w:val="auto"/>
        </w:rPr>
      </w:pPr>
      <w:r>
        <w:rPr>
          <w:rFonts w:ascii="Arial" w:cs="Arial" w:eastAsia="Arial" w:hAnsi="Arial"/>
          <w:sz w:val="12"/>
          <w:szCs w:val="12"/>
          <w:color w:val="auto"/>
        </w:rPr>
        <w:t>We offer Enhanced and Featured Listing dealers the following advertising and customer acquisition products:</w:t>
      </w:r>
    </w:p>
    <w:p>
      <w:pPr>
        <w:spacing w:after="0" w:line="129" w:lineRule="exact"/>
        <w:rPr>
          <w:sz w:val="20"/>
          <w:szCs w:val="20"/>
          <w:color w:val="auto"/>
        </w:rPr>
      </w:pPr>
    </w:p>
    <w:p>
      <w:pPr>
        <w:ind w:left="728" w:hanging="368"/>
        <w:spacing w:after="0" w:line="259" w:lineRule="auto"/>
        <w:tabs>
          <w:tab w:leader="none" w:pos="728"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 xml:space="preserve">Dealer Display. </w:t>
      </w:r>
      <w:r>
        <w:rPr>
          <w:rFonts w:ascii="Arial" w:cs="Arial" w:eastAsia="Arial" w:hAnsi="Arial"/>
          <w:sz w:val="12"/>
          <w:szCs w:val="12"/>
          <w:color w:val="auto"/>
        </w:rPr>
        <w:t>Dealers are able to buy display advertising that appears in our marketplace and on other sites on the Internet to build brand awareness. Advertisements can be targeted by geography, search</w:t>
      </w:r>
      <w:r>
        <w:rPr>
          <w:rFonts w:ascii="Arial" w:cs="Arial" w:eastAsia="Arial" w:hAnsi="Arial"/>
          <w:sz w:val="12"/>
          <w:szCs w:val="12"/>
          <w:i w:val="1"/>
          <w:iCs w:val="1"/>
          <w:color w:val="auto"/>
        </w:rPr>
        <w:t xml:space="preserve"> </w:t>
      </w:r>
      <w:r>
        <w:rPr>
          <w:rFonts w:ascii="Arial" w:cs="Arial" w:eastAsia="Arial" w:hAnsi="Arial"/>
          <w:sz w:val="12"/>
          <w:szCs w:val="12"/>
          <w:color w:val="auto"/>
        </w:rPr>
        <w:t>history, and a number of other targeting factors, allowing dealers to increase their visibility with relevant consumers and drive consumers to the dealer's own website.</w:t>
      </w:r>
    </w:p>
    <w:p>
      <w:pPr>
        <w:spacing w:after="0" w:line="116" w:lineRule="exact"/>
        <w:rPr>
          <w:rFonts w:ascii="Arial" w:cs="Arial" w:eastAsia="Arial" w:hAnsi="Arial"/>
          <w:sz w:val="12"/>
          <w:szCs w:val="12"/>
          <w:color w:val="auto"/>
        </w:rPr>
      </w:pPr>
    </w:p>
    <w:p>
      <w:pPr>
        <w:ind w:left="728" w:right="20" w:hanging="368"/>
        <w:spacing w:after="0" w:line="259" w:lineRule="auto"/>
        <w:tabs>
          <w:tab w:leader="none" w:pos="728"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 xml:space="preserve">Dealer Search Engine Marketing. </w:t>
      </w:r>
      <w:r>
        <w:rPr>
          <w:rFonts w:ascii="Arial" w:cs="Arial" w:eastAsia="Arial" w:hAnsi="Arial"/>
          <w:sz w:val="12"/>
          <w:szCs w:val="12"/>
          <w:color w:val="auto"/>
        </w:rPr>
        <w:t>Leveraging the capabilities we have developed for our own algorithmic traffic acquisition, including search engine marketing, or SEM, we offer a product that manages SEM</w:t>
      </w:r>
      <w:r>
        <w:rPr>
          <w:rFonts w:ascii="Arial" w:cs="Arial" w:eastAsia="Arial" w:hAnsi="Arial"/>
          <w:sz w:val="12"/>
          <w:szCs w:val="12"/>
          <w:i w:val="1"/>
          <w:iCs w:val="1"/>
          <w:color w:val="auto"/>
        </w:rPr>
        <w:t xml:space="preserve"> </w:t>
      </w:r>
      <w:r>
        <w:rPr>
          <w:rFonts w:ascii="Arial" w:cs="Arial" w:eastAsia="Arial" w:hAnsi="Arial"/>
          <w:sz w:val="12"/>
          <w:szCs w:val="12"/>
          <w:color w:val="auto"/>
        </w:rPr>
        <w:t>for dealers to drive qualified traffic to their websites. Utilizing algorithmic bidding strategies and keyword list bidding, we help optimize dealer SEM performance.</w:t>
      </w:r>
    </w:p>
    <w:p>
      <w:pPr>
        <w:spacing w:after="0" w:line="12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Below is a summary of the products and features available to dealers in our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605145" cy="2676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5145" cy="267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8" w:hanging="368"/>
        <w:spacing w:after="0"/>
        <w:tabs>
          <w:tab w:leader="none" w:pos="368" w:val="left"/>
        </w:tabs>
        <w:numPr>
          <w:ilvl w:val="0"/>
          <w:numId w:val="55"/>
        </w:numPr>
        <w:rPr>
          <w:rFonts w:ascii="Arial" w:cs="Arial" w:eastAsia="Arial" w:hAnsi="Arial"/>
          <w:sz w:val="12"/>
          <w:szCs w:val="12"/>
          <w:color w:val="auto"/>
        </w:rPr>
      </w:pPr>
      <w:r>
        <w:rPr>
          <w:rFonts w:ascii="Arial" w:cs="Arial" w:eastAsia="Arial" w:hAnsi="Arial"/>
          <w:sz w:val="10"/>
          <w:szCs w:val="10"/>
          <w:color w:val="auto"/>
        </w:rPr>
        <w:t>Available for an additional fee</w:t>
      </w:r>
    </w:p>
    <w:p>
      <w:pPr>
        <w:spacing w:after="0" w:line="13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142" w:right="27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Auto Manufacturer and Other Advertiser Products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platform offers auto manufacturers and others the ability to purchase display advertising on our site to execute targeted marketing strategies:</w:t>
      </w:r>
    </w:p>
    <w:p>
      <w:pPr>
        <w:spacing w:after="0" w:line="129" w:lineRule="exact"/>
        <w:rPr>
          <w:sz w:val="20"/>
          <w:szCs w:val="20"/>
          <w:color w:val="auto"/>
        </w:rPr>
      </w:pPr>
    </w:p>
    <w:p>
      <w:pPr>
        <w:ind w:left="720" w:right="40" w:hanging="368"/>
        <w:spacing w:after="0" w:line="259" w:lineRule="auto"/>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Brand Reinforcement. </w:t>
      </w:r>
      <w:r>
        <w:rPr>
          <w:rFonts w:ascii="Arial" w:cs="Arial" w:eastAsia="Arial" w:hAnsi="Arial"/>
          <w:sz w:val="12"/>
          <w:szCs w:val="12"/>
          <w:color w:val="auto"/>
        </w:rPr>
        <w:t>We allow auto manufacturers to buy advertising on our site and target consumers based on the make, model, and zip code of the cars that a specific consumer is searching for, in order</w:t>
      </w:r>
      <w:r>
        <w:rPr>
          <w:rFonts w:ascii="Arial" w:cs="Arial" w:eastAsia="Arial" w:hAnsi="Arial"/>
          <w:sz w:val="12"/>
          <w:szCs w:val="12"/>
          <w:i w:val="1"/>
          <w:iCs w:val="1"/>
          <w:color w:val="auto"/>
        </w:rPr>
        <w:t xml:space="preserve"> </w:t>
      </w:r>
      <w:r>
        <w:rPr>
          <w:rFonts w:ascii="Arial" w:cs="Arial" w:eastAsia="Arial" w:hAnsi="Arial"/>
          <w:sz w:val="12"/>
          <w:szCs w:val="12"/>
          <w:color w:val="auto"/>
        </w:rPr>
        <w:t>to maximize exposure to interested consumers.</w:t>
      </w:r>
    </w:p>
    <w:p>
      <w:pPr>
        <w:spacing w:after="0" w:line="116" w:lineRule="exact"/>
        <w:rPr>
          <w:rFonts w:ascii="Arial" w:cs="Arial" w:eastAsia="Arial" w:hAnsi="Arial"/>
          <w:sz w:val="12"/>
          <w:szCs w:val="12"/>
          <w:color w:val="auto"/>
        </w:rPr>
      </w:pPr>
    </w:p>
    <w:p>
      <w:pPr>
        <w:ind w:left="720" w:hanging="368"/>
        <w:spacing w:after="0" w:line="259" w:lineRule="auto"/>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Category Sponsorship. </w:t>
      </w:r>
      <w:r>
        <w:rPr>
          <w:rFonts w:ascii="Arial" w:cs="Arial" w:eastAsia="Arial" w:hAnsi="Arial"/>
          <w:sz w:val="12"/>
          <w:szCs w:val="12"/>
          <w:color w:val="auto"/>
        </w:rPr>
        <w:t>To address evolving priorities influenced by industry dynamics, seasonality, and other factors, we offer the ability to sponsor entire areas of prominent high traffic pages of our site,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the New Car front page, Used Car front page, or Research Center.</w:t>
      </w:r>
    </w:p>
    <w:p>
      <w:pPr>
        <w:spacing w:after="0" w:line="107" w:lineRule="exact"/>
        <w:rPr>
          <w:rFonts w:ascii="Arial" w:cs="Arial" w:eastAsia="Arial" w:hAnsi="Arial"/>
          <w:sz w:val="12"/>
          <w:szCs w:val="12"/>
          <w:color w:val="auto"/>
        </w:rPr>
      </w:pPr>
    </w:p>
    <w:p>
      <w:pPr>
        <w:ind w:left="720" w:right="220" w:hanging="368"/>
        <w:spacing w:after="0" w:line="259" w:lineRule="auto"/>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Automobile Segment Exclusivity. </w:t>
      </w:r>
      <w:r>
        <w:rPr>
          <w:rFonts w:ascii="Arial" w:cs="Arial" w:eastAsia="Arial" w:hAnsi="Arial"/>
          <w:sz w:val="12"/>
          <w:szCs w:val="12"/>
          <w:color w:val="auto"/>
        </w:rPr>
        <w:t>To support the introduction of new models or the success of existing models, we allow manufacturers to target specific automobile segments, such as SUV, sedan, hybrid,</w:t>
      </w:r>
      <w:r>
        <w:rPr>
          <w:rFonts w:ascii="Arial" w:cs="Arial" w:eastAsia="Arial" w:hAnsi="Arial"/>
          <w:sz w:val="12"/>
          <w:szCs w:val="12"/>
          <w:i w:val="1"/>
          <w:iCs w:val="1"/>
          <w:color w:val="auto"/>
        </w:rPr>
        <w:t xml:space="preserve"> </w:t>
      </w:r>
      <w:r>
        <w:rPr>
          <w:rFonts w:ascii="Arial" w:cs="Arial" w:eastAsia="Arial" w:hAnsi="Arial"/>
          <w:sz w:val="12"/>
          <w:szCs w:val="12"/>
          <w:color w:val="auto"/>
        </w:rPr>
        <w:t>luxury, truck, or minivan.</w:t>
      </w:r>
    </w:p>
    <w:p>
      <w:pPr>
        <w:spacing w:after="0" w:line="107" w:lineRule="exact"/>
        <w:rPr>
          <w:rFonts w:ascii="Arial" w:cs="Arial" w:eastAsia="Arial" w:hAnsi="Arial"/>
          <w:sz w:val="12"/>
          <w:szCs w:val="12"/>
          <w:color w:val="auto"/>
        </w:rPr>
      </w:pPr>
    </w:p>
    <w:p>
      <w:pPr>
        <w:ind w:left="720" w:right="20" w:hanging="368"/>
        <w:spacing w:after="0" w:line="259" w:lineRule="auto"/>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Consumer Segment Exposure. </w:t>
      </w:r>
      <w:r>
        <w:rPr>
          <w:rFonts w:ascii="Arial" w:cs="Arial" w:eastAsia="Arial" w:hAnsi="Arial"/>
          <w:sz w:val="12"/>
          <w:szCs w:val="12"/>
          <w:color w:val="auto"/>
        </w:rPr>
        <w:t>Through our platform, auto manufacturers can target consumers both on our site and on third-party sites based on various parameters, including household income and vehicle</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specifications, such as make or model, and zip codes.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marketing initiatives aim to drive brand awareness and engagement among consumers and dealers and to position us as a trusted online automotive marketplace.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Consumer Marketing</w:t>
      </w:r>
    </w:p>
    <w:p>
      <w:pPr>
        <w:spacing w:after="0" w:line="155"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We have built our audience on the strength of our user experience, and we remain focused on delivering an engaging consumer marketplace. The strength of the consumer experience that we offer is one of our most powerful marketing tools. By providing an intuitive search experience in our marketplace and relevant content, updates, and tools to consumers during their car search, we believe the users that comprise our large and engaged audience provide informal endorsements, more powerful than most marketing messages.</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Historically, our consumer marketing efforts have been focused primarily on algorithmic traffic acquisition. We employ a team of engineers and data scientists that optimizes our user acquisition through search engines, social media, and other digital marketing channels and has, for instance, tested over 350 million keywords on various search engines. We believe our expertise in this area constitutes a competitive advantage over less sophisticated competitors, or those who outsource these capabilities.</w:t>
      </w:r>
    </w:p>
    <w:p>
      <w:pPr>
        <w:spacing w:after="0" w:line="141"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More recently we have begun augmenting our marketing efforts with brand-building investments in broadcast media, such as television and radio. Our brand awareness is currently lower than other major U.S. online automotive marketplaces in the United States, despite our large monthly audience and higher user engagement. We believe that as a result of our trusted product, audience engagement, and relatively low brand awareness, we are well-positioned to strengthen our brand by investing in broadcast media.</w:t>
      </w:r>
    </w:p>
    <w:p>
      <w:pPr>
        <w:spacing w:after="0" w:line="141" w:lineRule="exact"/>
        <w:rPr>
          <w:sz w:val="20"/>
          <w:szCs w:val="20"/>
          <w:color w:val="auto"/>
        </w:rPr>
      </w:pPr>
    </w:p>
    <w:p>
      <w:pPr>
        <w:ind w:right="240" w:firstLine="326"/>
        <w:spacing w:after="0" w:line="281" w:lineRule="auto"/>
        <w:rPr>
          <w:sz w:val="20"/>
          <w:szCs w:val="20"/>
          <w:color w:val="auto"/>
        </w:rPr>
      </w:pPr>
      <w:r>
        <w:rPr>
          <w:rFonts w:ascii="Arial" w:cs="Arial" w:eastAsia="Arial" w:hAnsi="Arial"/>
          <w:sz w:val="11"/>
          <w:szCs w:val="11"/>
          <w:color w:val="auto"/>
        </w:rPr>
        <w:t>Our more than 5.4 million car listings as of June 30, 2017, on-site user behavior, connections between consumers and dealers, and opinion data from our users create significant opportunities for us to create and publish car shopping insights. We consistently gain earned media coverage in national, regional, and trade press outlets as well as social channels by leveraging our proprietary data to inform newsworthy content.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Dealer Marketing</w:t>
      </w:r>
    </w:p>
    <w:p>
      <w:pPr>
        <w:spacing w:after="0" w:line="155" w:lineRule="exact"/>
        <w:rPr>
          <w:sz w:val="20"/>
          <w:szCs w:val="20"/>
          <w:color w:val="auto"/>
        </w:rPr>
      </w:pPr>
    </w:p>
    <w:p>
      <w:pPr>
        <w:ind w:right="560" w:firstLine="323"/>
        <w:spacing w:after="0" w:line="239" w:lineRule="auto"/>
        <w:rPr>
          <w:sz w:val="20"/>
          <w:szCs w:val="20"/>
          <w:color w:val="auto"/>
        </w:rPr>
      </w:pPr>
      <w:r>
        <w:rPr>
          <w:rFonts w:ascii="Arial" w:cs="Arial" w:eastAsia="Arial" w:hAnsi="Arial"/>
          <w:sz w:val="12"/>
          <w:szCs w:val="12"/>
          <w:color w:val="auto"/>
        </w:rPr>
        <w:t>The primary goals of our dealer marketing initiatives are to acquire dealers not yet in our marketplace, convert non-paying dealers into paying dealers, retain our existing paying dealers, and expand annual subscription revenues from our existing paying dealers. Our dealer marketing efforts aim to:</w:t>
      </w:r>
    </w:p>
    <w:p>
      <w:pPr>
        <w:spacing w:after="0" w:line="127" w:lineRule="exact"/>
        <w:rPr>
          <w:sz w:val="20"/>
          <w:szCs w:val="20"/>
          <w:color w:val="auto"/>
        </w:rPr>
      </w:pPr>
    </w:p>
    <w:p>
      <w:pPr>
        <w:jc w:val="both"/>
        <w:ind w:left="720" w:right="40" w:hanging="368"/>
        <w:spacing w:after="0" w:line="247" w:lineRule="auto"/>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Educate Dealers on the Quality of Our Audience and Attractive ROI. </w:t>
      </w:r>
      <w:r>
        <w:rPr>
          <w:rFonts w:ascii="Arial" w:cs="Arial" w:eastAsia="Arial" w:hAnsi="Arial"/>
          <w:sz w:val="12"/>
          <w:szCs w:val="12"/>
          <w:color w:val="auto"/>
        </w:rPr>
        <w:t>We educate dealers on our industry-leading monthly sessions, our strong user engagement, and the large number of connections that we</w:t>
      </w:r>
      <w:r>
        <w:rPr>
          <w:rFonts w:ascii="Arial" w:cs="Arial" w:eastAsia="Arial" w:hAnsi="Arial"/>
          <w:sz w:val="12"/>
          <w:szCs w:val="12"/>
          <w:i w:val="1"/>
          <w:iCs w:val="1"/>
          <w:color w:val="auto"/>
        </w:rPr>
        <w:t xml:space="preserve"> </w:t>
      </w:r>
      <w:r>
        <w:rPr>
          <w:rFonts w:ascii="Arial" w:cs="Arial" w:eastAsia="Arial" w:hAnsi="Arial"/>
          <w:sz w:val="12"/>
          <w:szCs w:val="12"/>
          <w:color w:val="auto"/>
        </w:rPr>
        <w:t>facilitate through our marketplace. We also highlight to dealers how unique features of our platform, such as our intuitive user interface and our proprietary technology and data analytics, yield consumers that we believe are more informed and better prepared to purchase at the dealership, which can lead to a higher ROI for their marketing spend.</w:t>
      </w:r>
    </w:p>
    <w:p>
      <w:pPr>
        <w:spacing w:after="0" w:line="123" w:lineRule="exact"/>
        <w:rPr>
          <w:rFonts w:ascii="Arial" w:cs="Arial" w:eastAsia="Arial" w:hAnsi="Arial"/>
          <w:sz w:val="12"/>
          <w:szCs w:val="12"/>
          <w:color w:val="auto"/>
        </w:rPr>
      </w:pPr>
    </w:p>
    <w:p>
      <w:pPr>
        <w:ind w:left="720" w:right="60" w:hanging="368"/>
        <w:spacing w:after="0" w:line="247" w:lineRule="auto"/>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Provide Best Practices to Assist Dealers in Becoming Successful in Our Marketplace. </w:t>
      </w:r>
      <w:r>
        <w:rPr>
          <w:rFonts w:ascii="Arial" w:cs="Arial" w:eastAsia="Arial" w:hAnsi="Arial"/>
          <w:sz w:val="12"/>
          <w:szCs w:val="12"/>
          <w:color w:val="auto"/>
        </w:rPr>
        <w:t>We provide ongoing communications through live webinars, white papers, testimonials, and videos, which show dealers</w:t>
      </w:r>
      <w:r>
        <w:rPr>
          <w:rFonts w:ascii="Arial" w:cs="Arial" w:eastAsia="Arial" w:hAnsi="Arial"/>
          <w:sz w:val="12"/>
          <w:szCs w:val="12"/>
          <w:i w:val="1"/>
          <w:iCs w:val="1"/>
          <w:color w:val="auto"/>
        </w:rPr>
        <w:t xml:space="preserve"> </w:t>
      </w:r>
      <w:r>
        <w:rPr>
          <w:rFonts w:ascii="Arial" w:cs="Arial" w:eastAsia="Arial" w:hAnsi="Arial"/>
          <w:sz w:val="12"/>
          <w:szCs w:val="12"/>
          <w:color w:val="auto"/>
        </w:rPr>
        <w:t>how to use our products to position their inventory for success on our platform. We maintain consistent communication with dealers by email and events to ensure awareness of recent product releases and provide custom account management.</w:t>
      </w:r>
    </w:p>
    <w:p>
      <w:pPr>
        <w:spacing w:after="0" w:line="114" w:lineRule="exact"/>
        <w:rPr>
          <w:rFonts w:ascii="Arial" w:cs="Arial" w:eastAsia="Arial" w:hAnsi="Arial"/>
          <w:sz w:val="12"/>
          <w:szCs w:val="12"/>
          <w:color w:val="auto"/>
        </w:rPr>
      </w:pPr>
    </w:p>
    <w:p>
      <w:pPr>
        <w:ind w:left="720" w:right="80" w:hanging="368"/>
        <w:spacing w:after="0" w:line="259" w:lineRule="auto"/>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Provide Thought Leadership that Educates Dealers on Marketplace Trends. </w:t>
      </w:r>
      <w:r>
        <w:rPr>
          <w:rFonts w:ascii="Arial" w:cs="Arial" w:eastAsia="Arial" w:hAnsi="Arial"/>
          <w:sz w:val="12"/>
          <w:szCs w:val="12"/>
          <w:color w:val="auto"/>
        </w:rPr>
        <w:t>We generate insightful content on market trends and best practices in digital advertising that are shared through webinars, dealer</w:t>
      </w:r>
      <w:r>
        <w:rPr>
          <w:rFonts w:ascii="Arial" w:cs="Arial" w:eastAsia="Arial" w:hAnsi="Arial"/>
          <w:sz w:val="12"/>
          <w:szCs w:val="12"/>
          <w:i w:val="1"/>
          <w:iCs w:val="1"/>
          <w:color w:val="auto"/>
        </w:rPr>
        <w:t xml:space="preserve"> </w:t>
      </w:r>
      <w:r>
        <w:rPr>
          <w:rFonts w:ascii="Arial" w:cs="Arial" w:eastAsia="Arial" w:hAnsi="Arial"/>
          <w:sz w:val="12"/>
          <w:szCs w:val="12"/>
          <w:color w:val="auto"/>
        </w:rPr>
        <w:t>forums, dealer advisory councils, and our participation in industry conferences and events.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w:t>
      </w:r>
    </w:p>
    <w:p>
      <w:pPr>
        <w:spacing w:after="0" w:line="155"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Our sales team is responsible for bringing dealers onto our marketplace as paying or non-paying dealers. We have built an efficient inside sales team of over 200 employees that sell our marketplace Listing products to franchise and independent dealers and dealer groups. We have also built a field sales team residing in large metropolitan areas around the country that builds relationships with the largest dealer groups and national enterprises that make centralized decisions for their dealerships. We also have advertising sales employees based in Cambridge, Massachusetts; Detroit, Michigan; and Los Angeles, California.</w:t>
      </w:r>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have a comprehensive dealer account management process to assist dealers in becoming successful in our marketplace. We assign a Customer Success Associate to every new paying dealer to assist with proper onboarding and integration with any relevant software systems. The dedicated Customer Success Associate spends time educating dealers on a range of topics, including effectively using the Dealer Dashboard and tracking sales, and measuring ROI for their marketing spend. After the onboarding period, a dedicated Dealer Relations Account Manager works to assist the dealer in utilizing our tools and maximizing ROI from our offerings, including optimizing inventory acquisition, effectively pricing vehicles, vehicle merchandising, and keeping inventory up-to-date with complete vehicle information. We believe this active communication with our dealers fosters customer satisfaction.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Culture and Employees</w:t>
      </w:r>
    </w:p>
    <w:p>
      <w:pPr>
        <w:spacing w:after="0" w:line="155"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Our company culture has developed out of our data-driven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impact across these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constituencies. We encourage collaboration across our entire workforce and invest in creating a work environment that facilitates partnership among our employees.</w:t>
      </w:r>
    </w:p>
    <w:p>
      <w:pPr>
        <w:spacing w:after="0" w:line="129" w:lineRule="exact"/>
        <w:rPr>
          <w:sz w:val="20"/>
          <w:szCs w:val="20"/>
          <w:color w:val="auto"/>
        </w:rPr>
      </w:pPr>
    </w:p>
    <w:p>
      <w:pPr>
        <w:ind w:right="200" w:firstLine="326"/>
        <w:spacing w:after="0" w:line="259" w:lineRule="auto"/>
        <w:rPr>
          <w:sz w:val="20"/>
          <w:szCs w:val="20"/>
          <w:color w:val="auto"/>
        </w:rPr>
      </w:pPr>
      <w:r>
        <w:rPr>
          <w:rFonts w:ascii="Arial" w:cs="Arial" w:eastAsia="Arial" w:hAnsi="Arial"/>
          <w:sz w:val="12"/>
          <w:szCs w:val="12"/>
          <w:color w:val="auto"/>
        </w:rPr>
        <w:t xml:space="preserve">We have won a number of awards recognizing our strong culture, including </w:t>
      </w:r>
      <w:r>
        <w:rPr>
          <w:rFonts w:ascii="Arial" w:cs="Arial" w:eastAsia="Arial" w:hAnsi="Arial"/>
          <w:sz w:val="12"/>
          <w:szCs w:val="12"/>
          <w:i w:val="1"/>
          <w:iCs w:val="1"/>
          <w:color w:val="auto"/>
        </w:rPr>
        <w:t>Boston Globe</w:t>
      </w:r>
      <w:r>
        <w:rPr>
          <w:rFonts w:ascii="Arial" w:cs="Arial" w:eastAsia="Arial" w:hAnsi="Arial"/>
          <w:sz w:val="12"/>
          <w:szCs w:val="12"/>
          <w:color w:val="auto"/>
        </w:rPr>
        <w:t xml:space="preserve">'s "Top Place to Work" for three years in a row from 2014 to 2016 and </w:t>
      </w:r>
      <w:r>
        <w:rPr>
          <w:rFonts w:ascii="Arial" w:cs="Arial" w:eastAsia="Arial" w:hAnsi="Arial"/>
          <w:sz w:val="12"/>
          <w:szCs w:val="12"/>
          <w:i w:val="1"/>
          <w:iCs w:val="1"/>
          <w:color w:val="auto"/>
        </w:rPr>
        <w:t>Boston Business Journal</w:t>
      </w:r>
      <w:r>
        <w:rPr>
          <w:rFonts w:ascii="Arial" w:cs="Arial" w:eastAsia="Arial" w:hAnsi="Arial"/>
          <w:sz w:val="12"/>
          <w:szCs w:val="12"/>
          <w:color w:val="auto"/>
        </w:rPr>
        <w:t>'s "Best Places to Work" for three of the past four years in 2013, 2015, and 2016.</w:t>
      </w:r>
    </w:p>
    <w:p>
      <w:pPr>
        <w:spacing w:after="0" w:line="128" w:lineRule="exact"/>
        <w:rPr>
          <w:sz w:val="20"/>
          <w:szCs w:val="20"/>
          <w:color w:val="auto"/>
        </w:rPr>
      </w:pPr>
    </w:p>
    <w:p>
      <w:pPr>
        <w:ind w:right="480" w:firstLine="319"/>
        <w:spacing w:after="0" w:line="239" w:lineRule="auto"/>
        <w:rPr>
          <w:sz w:val="20"/>
          <w:szCs w:val="20"/>
          <w:color w:val="auto"/>
        </w:rPr>
      </w:pPr>
      <w:r>
        <w:rPr>
          <w:rFonts w:ascii="Arial" w:cs="Arial" w:eastAsia="Arial" w:hAnsi="Arial"/>
          <w:sz w:val="12"/>
          <w:szCs w:val="12"/>
          <w:color w:val="auto"/>
        </w:rPr>
        <w:t>As of September 25, 2017, we had 514 full-time employees, 34 of which were based in our international markets. None of our employees is represented by a labor union or covered by a collective bargaining agreement. We have not experienced any work stoppages, and we consider our relations with our employees to be good.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and Product Development</w:t>
      </w:r>
    </w:p>
    <w:p>
      <w:pPr>
        <w:spacing w:after="0" w:line="155" w:lineRule="exact"/>
        <w:rPr>
          <w:sz w:val="20"/>
          <w:szCs w:val="20"/>
          <w:color w:val="auto"/>
        </w:rPr>
      </w:pPr>
    </w:p>
    <w:p>
      <w:pPr>
        <w:jc w:val="both"/>
        <w:ind w:firstLine="326"/>
        <w:spacing w:after="0" w:line="237" w:lineRule="auto"/>
        <w:rPr>
          <w:sz w:val="20"/>
          <w:szCs w:val="20"/>
          <w:color w:val="auto"/>
        </w:rPr>
      </w:pPr>
      <w:r>
        <w:rPr>
          <w:rFonts w:ascii="Arial" w:cs="Arial" w:eastAsia="Arial" w:hAnsi="Arial"/>
          <w:sz w:val="12"/>
          <w:szCs w:val="12"/>
          <w:color w:val="auto"/>
        </w:rPr>
        <w:t>We are a technology company focused on innovative, actionable data analysis. We design our mobile and web products to create an unbiased, transparent experience for both consumers and dealers. We believe in rapid development and frequent updates and have internal tools and automation that allow us to efficiently evolve our products. Our software is built using a combination of internally developed software, third-party software and services, and open source software.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Search Technology</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Our search and ranking technology is served by a proprietary in-memory search index solution that is scalable, fast, and extensible, allowing us to expand easily into new markets, as demonstrated by our recently launched international marketplaces. We have highly flexible interfaces that allow dealers to add their inventory to our index without changing data or formats, enabling us to quickly integrate hundreds of inventory sources with minimal effort and easily support inventory growth.</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Mobile Technology</w:t>
      </w:r>
    </w:p>
    <w:p>
      <w:pPr>
        <w:spacing w:after="0" w:line="155" w:lineRule="exact"/>
        <w:rPr>
          <w:sz w:val="20"/>
          <w:szCs w:val="20"/>
          <w:color w:val="auto"/>
        </w:rPr>
      </w:pPr>
    </w:p>
    <w:p>
      <w:pPr>
        <w:ind w:right="260" w:firstLine="326"/>
        <w:spacing w:after="0" w:line="239" w:lineRule="auto"/>
        <w:rPr>
          <w:sz w:val="20"/>
          <w:szCs w:val="20"/>
          <w:color w:val="auto"/>
        </w:rPr>
      </w:pPr>
      <w:r>
        <w:rPr>
          <w:rFonts w:ascii="Arial" w:cs="Arial" w:eastAsia="Arial" w:hAnsi="Arial"/>
          <w:sz w:val="12"/>
          <w:szCs w:val="12"/>
          <w:color w:val="auto"/>
        </w:rPr>
        <w:t>We have designed our marketplace to appeal to mobile users by developing our products with a mobile-first mindset. All of our search results pages use a single-page application type approach to eliminate page reloads and improve responsiveness. We also use techniques, including predictive pre-fetching and infinite scrolling, to load content onto a user's mobile device more efficiently.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Integrations</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We make available several application program interfaces and web widgets that integrate with customer relationship management and inventory management solutions, among other platforms. These integrations incorporate our data and tools into the fabric of dealers' marketing and customer engagement strategies. For example, our Deal Rating Badges are used on over a thousand websites and allow our Deal Rating technology to be promoted across the Internet.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Infrastructure</w:t>
      </w:r>
    </w:p>
    <w:p>
      <w:pPr>
        <w:spacing w:after="0" w:line="155"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Our websites are hosted at third-party data centers near Boston, Massachusetts; Dallas, Texas; and London, England. We use third-party content distribution networks to cache and serve many portions of our site at locations across the globe. We monitor and test at the application, host, network, and full site levels to maintain availability and performance. Our development servers are located at our corporate headquarters in Cambridge, Massachusetts. We use third-party cloud computing services for many data processing jobs.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11" w:name="page112"/>
    <w:bookmarkEnd w:id="11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5" w:lineRule="exact"/>
        <w:rPr>
          <w:sz w:val="20"/>
          <w:szCs w:val="20"/>
          <w:color w:val="auto"/>
        </w:rPr>
      </w:pPr>
    </w:p>
    <w:p>
      <w:pPr>
        <w:ind w:right="200" w:firstLine="326"/>
        <w:spacing w:after="0" w:line="239" w:lineRule="auto"/>
        <w:rPr>
          <w:sz w:val="20"/>
          <w:szCs w:val="20"/>
          <w:color w:val="auto"/>
        </w:rPr>
      </w:pPr>
      <w:r>
        <w:rPr>
          <w:rFonts w:ascii="Arial" w:cs="Arial" w:eastAsia="Arial" w:hAnsi="Arial"/>
          <w:sz w:val="12"/>
          <w:szCs w:val="12"/>
          <w:color w:val="auto"/>
        </w:rPr>
        <w:t>We face competition to attract consumers and paying dealers to our marketplace and to attract advertisers to purchase our advertising products and services. Our competitors offer various marketplaces, products, and services that compete with us. Some of these competitors include:</w:t>
      </w:r>
    </w:p>
    <w:p>
      <w:pPr>
        <w:spacing w:after="0" w:line="139" w:lineRule="exact"/>
        <w:rPr>
          <w:sz w:val="20"/>
          <w:szCs w:val="20"/>
          <w:color w:val="auto"/>
        </w:rPr>
      </w:pPr>
    </w:p>
    <w:p>
      <w:pPr>
        <w:ind w:left="720" w:hanging="368"/>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major U.S. online automotive marketplaces: AutoTrader.com, Cars.com, and TrueCar.com;</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U.S. online automotive content publishers, such as Edmunds.com and KBB.com;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Internet search engines;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peer to peer marketplaces;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sites operated by individual automobile dealers.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Competition for Consumers and Dealers</w:t>
      </w:r>
    </w:p>
    <w:p>
      <w:pPr>
        <w:spacing w:after="0" w:line="155"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We compete for consumer visits with other online automotive marketplaces, free listing services, general search engines, and dealers' websites. We compete for consumers primarily on the basis of the quality of the consumer experience. We believe we compete favorably on user experience due to the number of our vehicle listings, the unbiased transparency of the information we provide on cars, prices, and dealers, the intuitive nature of our user interface, and our leading mobile user experience, among other factors.</w:t>
      </w:r>
    </w:p>
    <w:p>
      <w:pPr>
        <w:spacing w:after="0" w:line="141" w:lineRule="exact"/>
        <w:rPr>
          <w:sz w:val="20"/>
          <w:szCs w:val="20"/>
          <w:color w:val="auto"/>
        </w:rPr>
      </w:pPr>
    </w:p>
    <w:p>
      <w:pPr>
        <w:jc w:val="both"/>
        <w:ind w:right="200" w:firstLine="326"/>
        <w:spacing w:after="0" w:line="237" w:lineRule="auto"/>
        <w:rPr>
          <w:sz w:val="20"/>
          <w:szCs w:val="20"/>
          <w:color w:val="auto"/>
        </w:rPr>
      </w:pPr>
      <w:r>
        <w:rPr>
          <w:rFonts w:ascii="Arial" w:cs="Arial" w:eastAsia="Arial" w:hAnsi="Arial"/>
          <w:sz w:val="12"/>
          <w:szCs w:val="12"/>
          <w:color w:val="auto"/>
        </w:rPr>
        <w:t>We compete for dealers' marketing spend with offline customer acquisition channels, other online automotive marketplaces, dealers' own customer acquisition efforts on general search engines, and other Internet sites that attract consumers searching for vehicles. We compete primarily on the basis of the ROI that our marketplace provides. We believe we compete favorably due to our large user audience, high user engagement, and the volume and quality of connections we provide to well-informed consumers, which results in an attractive ROI for dealers.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Competition for Advertisers</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We compete for a share of advertisers' total marketing budgets with offline advertising channels, media sites, websites dedicated to helping consumers shop for cars, major Internet portals, general search engines, and social media sites, among other sites. We also compete for a share of advertisers' overall marketing budgets with traditional media, such as television, radio, magazines, newspapers, automotive guide publications, and billboards.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protect our intellectual property through a combination of patents, copyrights, trademarks, service mark, domain names, trade secret laws, confidentiality procedures, and contractual restrictions.</w:t>
      </w:r>
    </w:p>
    <w:p>
      <w:pPr>
        <w:spacing w:after="0" w:line="141" w:lineRule="exact"/>
        <w:rPr>
          <w:sz w:val="20"/>
          <w:szCs w:val="20"/>
          <w:color w:val="auto"/>
        </w:rPr>
      </w:pPr>
    </w:p>
    <w:p>
      <w:pPr>
        <w:ind w:right="400" w:firstLine="326"/>
        <w:spacing w:after="0" w:line="239" w:lineRule="auto"/>
        <w:rPr>
          <w:sz w:val="20"/>
          <w:szCs w:val="20"/>
          <w:color w:val="auto"/>
        </w:rPr>
      </w:pPr>
      <w:r>
        <w:rPr>
          <w:rFonts w:ascii="Arial" w:cs="Arial" w:eastAsia="Arial" w:hAnsi="Arial"/>
          <w:sz w:val="12"/>
          <w:szCs w:val="12"/>
          <w:color w:val="auto"/>
        </w:rPr>
        <w:t>We have four pending U.S. patent applications. These applications cover proprietary technology that relates to various functionalities on our websites, generally in connection with ordering, adjusting, and fraud detection. We intend to pursue additional patent protection to the extent we believe it would be beneficial to our competitive position.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a number of registered and unregistered trademarks. We registered "CarGurus," the CarGurus logo, the CG logo, and related marks, as trademarks in the United States and certain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other jurisdictions. We will pursue additional trademark registrations to the extent we believe doing so would be beneficial to our competitive position.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are the registered holder of a variety of domestic and international domain names that include "CarGurus" and similar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55" w:lineRule="exact"/>
        <w:rPr>
          <w:sz w:val="20"/>
          <w:szCs w:val="20"/>
          <w:color w:val="auto"/>
        </w:rPr>
      </w:pPr>
    </w:p>
    <w:p>
      <w:pPr>
        <w:ind w:right="340" w:firstLine="326"/>
        <w:spacing w:after="0" w:line="239" w:lineRule="auto"/>
        <w:rPr>
          <w:sz w:val="20"/>
          <w:szCs w:val="20"/>
          <w:color w:val="auto"/>
        </w:rPr>
      </w:pPr>
      <w:r>
        <w:rPr>
          <w:rFonts w:ascii="Arial" w:cs="Arial" w:eastAsia="Arial" w:hAnsi="Arial"/>
          <w:sz w:val="12"/>
          <w:szCs w:val="12"/>
          <w:color w:val="auto"/>
        </w:rPr>
        <w:t>We do not own any real property. Our principal executive offices are located in Cambridge, Massachusetts where we lease a total of approximately 99,982 square feet of space in two buildings under leases that expire in November 2022 and January 2024. We also lease office space in Detroit, Michigan, and Dublin, Ireland.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w:t>
      </w:r>
    </w:p>
    <w:p>
      <w:pPr>
        <w:spacing w:after="0" w:line="155" w:lineRule="exact"/>
        <w:rPr>
          <w:sz w:val="20"/>
          <w:szCs w:val="20"/>
          <w:color w:val="auto"/>
        </w:rPr>
      </w:pPr>
    </w:p>
    <w:p>
      <w:pPr>
        <w:ind w:right="120" w:firstLine="326"/>
        <w:spacing w:after="0" w:line="236" w:lineRule="auto"/>
        <w:rPr>
          <w:sz w:val="20"/>
          <w:szCs w:val="20"/>
          <w:color w:val="auto"/>
        </w:rPr>
      </w:pPr>
      <w:r>
        <w:rPr>
          <w:rFonts w:ascii="Arial" w:cs="Arial" w:eastAsia="Arial" w:hAnsi="Arial"/>
          <w:sz w:val="12"/>
          <w:szCs w:val="12"/>
          <w:color w:val="auto"/>
        </w:rPr>
        <w:t>Various aspects of our business are, may become, or may be viewed by regulators from time to time as subject, directly or indirectly, to U.S. federal, state, and foreign laws and regulations. In particular, 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which were generally developed decades before the emergence of the Internet, are frequently subject to multiple interpretations, and are not uniform from state to state, sometimes imposing inconsistent requirements with respect to new or used motor vehicles, and the manner in which they should be applied to our business model is not always clear. State regulators or other third parties could take, and on some occasions have taken, the position that our marketplace or related products violate applicable brokering, bird-dog, consumer protection, or advertising laws or regulations.</w:t>
      </w:r>
    </w:p>
    <w:p>
      <w:pPr>
        <w:spacing w:after="0" w:line="140" w:lineRule="exact"/>
        <w:rPr>
          <w:sz w:val="20"/>
          <w:szCs w:val="20"/>
          <w:color w:val="auto"/>
        </w:rPr>
      </w:pPr>
    </w:p>
    <w:p>
      <w:pPr>
        <w:ind w:right="80" w:firstLine="326"/>
        <w:spacing w:after="0" w:line="239" w:lineRule="auto"/>
        <w:rPr>
          <w:sz w:val="20"/>
          <w:szCs w:val="20"/>
          <w:color w:val="auto"/>
        </w:rPr>
      </w:pPr>
      <w:r>
        <w:rPr>
          <w:rFonts w:ascii="Arial" w:cs="Arial" w:eastAsia="Arial" w:hAnsi="Arial"/>
          <w:sz w:val="12"/>
          <w:szCs w:val="12"/>
          <w:color w:val="auto"/>
        </w:rPr>
        <w:t>In order to operate in this regulated environment, we develop our products and services with a view toward appropriately managing the risk that our regulatory compliance, or the regulatory compliance of the dealers whose inventory is listed on our website, could be challenged.</w:t>
      </w:r>
    </w:p>
    <w:p>
      <w:pPr>
        <w:spacing w:after="0" w:line="139"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We consider federal and state advertising and consumer protection laws and regulations in designing our products and services. With respect to paid advertising, other than display advertising and featured dealer listings, we believe that most of the content displayed on the websites we operate does not constitute paid advertising for the sale of motor vehicles. Nevertheless, we endeavor to design the content in a manner that would comply with federal and state advertising regulations and consumer protection laws if, and to the extent that, the content is considered to be vehicle sales advertising.</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Our website and mobile application enable us, dealers, and users to send and receive text messages and other mobile phone communications in certain circumstances. The Telephone Consumer Protection Act, as interpreted and implemented by the Federal Communications Commission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5" w:lineRule="exact"/>
        <w:rPr>
          <w:sz w:val="20"/>
          <w:szCs w:val="20"/>
          <w:color w:val="auto"/>
        </w:rPr>
      </w:pPr>
    </w:p>
    <w:p>
      <w:pPr>
        <w:ind w:right="320" w:firstLine="326"/>
        <w:spacing w:after="0" w:line="239" w:lineRule="auto"/>
        <w:rPr>
          <w:sz w:val="20"/>
          <w:szCs w:val="20"/>
          <w:color w:val="auto"/>
        </w:rPr>
      </w:pPr>
      <w:r>
        <w:rPr>
          <w:rFonts w:ascii="Arial" w:cs="Arial" w:eastAsia="Arial" w:hAnsi="Arial"/>
          <w:sz w:val="12"/>
          <w:szCs w:val="12"/>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would reasonably be expected to have a material adverse effect on our business or financial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MANAGEMENT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Key Employees, and Non-Employee Directors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the names, ages, and positions of our executive officers, key employees, and non-employee directors as of September 25, 2017:</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860" w:type="dxa"/>
            <w:vAlign w:val="bottom"/>
            <w:gridSpan w:val="3"/>
          </w:tcPr>
          <w:p>
            <w:pPr>
              <w:spacing w:after="0"/>
              <w:rPr>
                <w:sz w:val="20"/>
                <w:szCs w:val="20"/>
                <w:color w:val="auto"/>
              </w:rPr>
            </w:pPr>
            <w:r>
              <w:rPr>
                <w:rFonts w:ascii="Arial" w:cs="Arial" w:eastAsia="Arial" w:hAnsi="Arial"/>
                <w:sz w:val="12"/>
                <w:szCs w:val="12"/>
                <w:color w:val="auto"/>
              </w:rPr>
              <w:t>Name</w:t>
            </w: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Age</w:t>
            </w:r>
          </w:p>
        </w:tc>
        <w:tc>
          <w:tcPr>
            <w:tcW w:w="100" w:type="dxa"/>
            <w:vAlign w:val="bottom"/>
          </w:tcPr>
          <w:p>
            <w:pPr>
              <w:spacing w:after="0"/>
              <w:rPr>
                <w:sz w:val="12"/>
                <w:szCs w:val="12"/>
                <w:color w:val="auto"/>
              </w:rPr>
            </w:pPr>
          </w:p>
        </w:tc>
        <w:tc>
          <w:tcPr>
            <w:tcW w:w="2840" w:type="dxa"/>
            <w:vAlign w:val="bottom"/>
          </w:tcPr>
          <w:p>
            <w:pPr>
              <w:ind w:left="1200"/>
              <w:spacing w:after="0"/>
              <w:rPr>
                <w:sz w:val="20"/>
                <w:szCs w:val="20"/>
                <w:color w:val="auto"/>
              </w:rPr>
            </w:pPr>
            <w:r>
              <w:rPr>
                <w:rFonts w:ascii="Arial" w:cs="Arial" w:eastAsia="Arial" w:hAnsi="Arial"/>
                <w:sz w:val="12"/>
                <w:szCs w:val="12"/>
                <w:color w:val="auto"/>
              </w:rPr>
              <w:t>Position</w:t>
            </w:r>
          </w:p>
        </w:tc>
      </w:tr>
      <w:tr>
        <w:trPr>
          <w:trHeight w:val="133"/>
        </w:trPr>
        <w:tc>
          <w:tcPr>
            <w:tcW w:w="20" w:type="dxa"/>
            <w:vAlign w:val="bottom"/>
          </w:tcPr>
          <w:p>
            <w:pPr>
              <w:spacing w:after="0"/>
              <w:rPr>
                <w:sz w:val="11"/>
                <w:szCs w:val="11"/>
                <w:color w:val="auto"/>
              </w:rPr>
            </w:pPr>
          </w:p>
        </w:tc>
        <w:tc>
          <w:tcPr>
            <w:tcW w:w="584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i w:val="1"/>
                <w:iCs w:val="1"/>
                <w:color w:val="auto"/>
              </w:rPr>
              <w:t>Executive Officers:</w:t>
            </w:r>
          </w:p>
        </w:tc>
        <w:tc>
          <w:tcPr>
            <w:tcW w:w="1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40" w:type="dxa"/>
            <w:vAlign w:val="bottom"/>
            <w:tcBorders>
              <w:top w:val="single" w:sz="8" w:color="auto"/>
            </w:tcBorders>
            <w:shd w:val="clear" w:color="auto" w:fill="CCEEFF"/>
          </w:tcPr>
          <w:p>
            <w:pPr>
              <w:spacing w:after="0"/>
              <w:rPr>
                <w:sz w:val="11"/>
                <w:szCs w:val="11"/>
                <w:color w:val="auto"/>
              </w:rPr>
            </w:pP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Langley Steinert</w:t>
            </w:r>
          </w:p>
        </w:tc>
        <w:tc>
          <w:tcPr>
            <w:tcW w:w="4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w:t>
            </w:r>
          </w:p>
        </w:tc>
        <w:tc>
          <w:tcPr>
            <w:tcW w:w="29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Chief Executive Officer, President, and Chairman</w:t>
            </w: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Jason Trevisan</w:t>
            </w:r>
          </w:p>
        </w:tc>
        <w:tc>
          <w:tcPr>
            <w:tcW w:w="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43</w:t>
            </w:r>
          </w:p>
        </w:tc>
        <w:tc>
          <w:tcPr>
            <w:tcW w:w="29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Chief Financial Officer and Treasurer</w:t>
            </w: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Samuel Zales</w:t>
            </w:r>
          </w:p>
        </w:tc>
        <w:tc>
          <w:tcPr>
            <w:tcW w:w="4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w:t>
            </w:r>
          </w:p>
        </w:tc>
        <w:tc>
          <w:tcPr>
            <w:tcW w:w="29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Chief Operating Officer</w:t>
            </w:r>
          </w:p>
        </w:tc>
      </w:tr>
      <w:tr>
        <w:trPr>
          <w:trHeight w:val="279"/>
        </w:trPr>
        <w:tc>
          <w:tcPr>
            <w:tcW w:w="20" w:type="dxa"/>
            <w:vAlign w:val="bottom"/>
          </w:tcPr>
          <w:p>
            <w:pPr>
              <w:spacing w:after="0"/>
              <w:rPr>
                <w:sz w:val="24"/>
                <w:szCs w:val="24"/>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Key Employees:</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Thomas Caputo</w:t>
            </w:r>
          </w:p>
        </w:tc>
        <w:tc>
          <w:tcPr>
            <w:tcW w:w="4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43</w:t>
            </w:r>
          </w:p>
        </w:tc>
        <w:tc>
          <w:tcPr>
            <w:tcW w:w="29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Senior Vice President, Product</w:t>
            </w: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Oliver Chrzan</w:t>
            </w:r>
          </w:p>
        </w:tc>
        <w:tc>
          <w:tcPr>
            <w:tcW w:w="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w:t>
            </w:r>
          </w:p>
        </w:tc>
        <w:tc>
          <w:tcPr>
            <w:tcW w:w="29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Senior Vice President, Engineering</w:t>
            </w: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Kathleen Patton</w:t>
            </w:r>
          </w:p>
        </w:tc>
        <w:tc>
          <w:tcPr>
            <w:tcW w:w="4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w:t>
            </w:r>
          </w:p>
        </w:tc>
        <w:tc>
          <w:tcPr>
            <w:tcW w:w="29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7"/>
              </w:rPr>
              <w:t>Senior Vice President, General Counsel and Secretary</w:t>
            </w: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Sarah Welch</w:t>
            </w:r>
          </w:p>
        </w:tc>
        <w:tc>
          <w:tcPr>
            <w:tcW w:w="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45</w:t>
            </w:r>
          </w:p>
        </w:tc>
        <w:tc>
          <w:tcPr>
            <w:tcW w:w="29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Senior Vice President, Consumer Marketing</w:t>
            </w:r>
          </w:p>
        </w:tc>
      </w:tr>
      <w:tr>
        <w:trPr>
          <w:trHeight w:val="279"/>
        </w:trPr>
        <w:tc>
          <w:tcPr>
            <w:tcW w:w="58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Non-Employee Directors: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Stephen Kaufer</w:t>
            </w:r>
            <w:r>
              <w:rPr>
                <w:rFonts w:ascii="Arial" w:cs="Arial" w:eastAsia="Arial" w:hAnsi="Arial"/>
                <w:sz w:val="18"/>
                <w:szCs w:val="18"/>
                <w:color w:val="auto"/>
                <w:vertAlign w:val="superscript"/>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162"/>
        </w:trPr>
        <w:tc>
          <w:tcPr>
            <w:tcW w:w="5860" w:type="dxa"/>
            <w:vAlign w:val="bottom"/>
            <w:gridSpan w:val="3"/>
          </w:tcPr>
          <w:p>
            <w:pPr>
              <w:spacing w:after="0" w:line="162" w:lineRule="exact"/>
              <w:rPr>
                <w:sz w:val="20"/>
                <w:szCs w:val="20"/>
                <w:color w:val="auto"/>
              </w:rPr>
            </w:pPr>
            <w:r>
              <w:rPr>
                <w:rFonts w:ascii="Arial" w:cs="Arial" w:eastAsia="Arial" w:hAnsi="Arial"/>
                <w:sz w:val="11"/>
                <w:szCs w:val="11"/>
                <w:color w:val="auto"/>
              </w:rPr>
              <w:t>Anastasios Parafestas</w:t>
            </w:r>
            <w:r>
              <w:rPr>
                <w:rFonts w:ascii="Arial" w:cs="Arial" w:eastAsia="Arial" w:hAnsi="Arial"/>
                <w:sz w:val="18"/>
                <w:szCs w:val="18"/>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62</w:t>
            </w:r>
          </w:p>
        </w:tc>
        <w:tc>
          <w:tcPr>
            <w:tcW w:w="294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David Parker</w:t>
            </w:r>
            <w:r>
              <w:rPr>
                <w:rFonts w:ascii="Arial" w:cs="Arial" w:eastAsia="Arial" w:hAnsi="Arial"/>
                <w:sz w:val="18"/>
                <w:szCs w:val="18"/>
                <w:color w:val="auto"/>
                <w:vertAlign w:val="superscript"/>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162"/>
        </w:trPr>
        <w:tc>
          <w:tcPr>
            <w:tcW w:w="5860" w:type="dxa"/>
            <w:vAlign w:val="bottom"/>
            <w:gridSpan w:val="3"/>
          </w:tcPr>
          <w:p>
            <w:pPr>
              <w:spacing w:after="0" w:line="162" w:lineRule="exact"/>
              <w:rPr>
                <w:sz w:val="20"/>
                <w:szCs w:val="20"/>
                <w:color w:val="auto"/>
              </w:rPr>
            </w:pPr>
            <w:r>
              <w:rPr>
                <w:rFonts w:ascii="Arial" w:cs="Arial" w:eastAsia="Arial" w:hAnsi="Arial"/>
                <w:sz w:val="11"/>
                <w:szCs w:val="11"/>
                <w:color w:val="auto"/>
              </w:rPr>
              <w:t>Simon Rothman</w:t>
            </w:r>
            <w:r>
              <w:rPr>
                <w:rFonts w:ascii="Arial" w:cs="Arial" w:eastAsia="Arial" w:hAnsi="Arial"/>
                <w:sz w:val="18"/>
                <w:szCs w:val="18"/>
                <w:color w:val="auto"/>
                <w:vertAlign w:val="superscript"/>
              </w:rPr>
              <w:t>(1)(2)</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52</w:t>
            </w:r>
          </w:p>
        </w:tc>
        <w:tc>
          <w:tcPr>
            <w:tcW w:w="294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Ian Smith</w:t>
            </w:r>
            <w:r>
              <w:rPr>
                <w:rFonts w:ascii="Arial" w:cs="Arial" w:eastAsia="Arial" w:hAnsi="Arial"/>
                <w:sz w:val="18"/>
                <w:szCs w:val="18"/>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72"/>
        </w:trPr>
        <w:tc>
          <w:tcPr>
            <w:tcW w:w="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40" w:type="dxa"/>
            <w:vAlign w:val="bottom"/>
          </w:tcPr>
          <w:p>
            <w:pPr>
              <w:spacing w:after="0"/>
              <w:rPr>
                <w:sz w:val="6"/>
                <w:szCs w:val="6"/>
                <w:color w:val="auto"/>
              </w:rPr>
            </w:pPr>
          </w:p>
        </w:tc>
      </w:tr>
    </w:tbl>
    <w:p>
      <w:pPr>
        <w:spacing w:after="0" w:line="101" w:lineRule="exact"/>
        <w:rPr>
          <w:sz w:val="20"/>
          <w:szCs w:val="20"/>
          <w:color w:val="auto"/>
        </w:rPr>
      </w:pPr>
    </w:p>
    <w:p>
      <w:pPr>
        <w:ind w:left="1500" w:hanging="360"/>
        <w:spacing w:after="0"/>
        <w:tabs>
          <w:tab w:leader="none" w:pos="1500" w:val="left"/>
        </w:tabs>
        <w:numPr>
          <w:ilvl w:val="0"/>
          <w:numId w:val="59"/>
        </w:numPr>
        <w:rPr>
          <w:rFonts w:ascii="Arial" w:cs="Arial" w:eastAsia="Arial" w:hAnsi="Arial"/>
          <w:sz w:val="14"/>
          <w:szCs w:val="14"/>
          <w:color w:val="auto"/>
          <w:vertAlign w:val="superscript"/>
        </w:rPr>
      </w:pPr>
      <w:r>
        <w:rPr>
          <w:rFonts w:ascii="Arial" w:cs="Arial" w:eastAsia="Arial" w:hAnsi="Arial"/>
          <w:sz w:val="10"/>
          <w:szCs w:val="10"/>
          <w:color w:val="auto"/>
        </w:rPr>
        <w:t>Member of our compensation committee.</w:t>
      </w:r>
    </w:p>
    <w:p>
      <w:pPr>
        <w:spacing w:after="0" w:line="55"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59"/>
        </w:numPr>
        <w:rPr>
          <w:rFonts w:ascii="Arial" w:cs="Arial" w:eastAsia="Arial" w:hAnsi="Arial"/>
          <w:sz w:val="14"/>
          <w:szCs w:val="14"/>
          <w:color w:val="auto"/>
          <w:vertAlign w:val="superscript"/>
        </w:rPr>
      </w:pPr>
      <w:r>
        <w:rPr>
          <w:rFonts w:ascii="Arial" w:cs="Arial" w:eastAsia="Arial" w:hAnsi="Arial"/>
          <w:sz w:val="10"/>
          <w:szCs w:val="10"/>
          <w:color w:val="auto"/>
        </w:rPr>
        <w:t>Member of our audit committee.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Each executive officer serves at the discretion of our board of directors and holds office until his or her successor is duly elected and qualified or until his or her earlier resignation or removal.</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There are no family relationships among any of our executive officers, key employees, or non-employee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41" w:lineRule="exact"/>
        <w:rPr>
          <w:sz w:val="20"/>
          <w:szCs w:val="20"/>
          <w:color w:val="auto"/>
        </w:rPr>
      </w:pPr>
    </w:p>
    <w:p>
      <w:pPr>
        <w:ind w:firstLine="326"/>
        <w:spacing w:after="0" w:line="248" w:lineRule="auto"/>
        <w:rPr>
          <w:sz w:val="20"/>
          <w:szCs w:val="20"/>
          <w:color w:val="auto"/>
        </w:rPr>
      </w:pPr>
      <w:r>
        <w:rPr>
          <w:rFonts w:ascii="Arial" w:cs="Arial" w:eastAsia="Arial" w:hAnsi="Arial"/>
          <w:sz w:val="12"/>
          <w:szCs w:val="12"/>
          <w:b w:val="1"/>
          <w:bCs w:val="1"/>
          <w:i w:val="1"/>
          <w:iCs w:val="1"/>
          <w:color w:val="auto"/>
        </w:rPr>
        <w:t xml:space="preserve">Langley Steinert. </w:t>
      </w:r>
      <w:r>
        <w:rPr>
          <w:rFonts w:ascii="Arial" w:cs="Arial" w:eastAsia="Arial" w:hAnsi="Arial"/>
          <w:sz w:val="12"/>
          <w:szCs w:val="12"/>
          <w:color w:val="auto"/>
        </w:rPr>
        <w:t>Langley Steinert is our founder and has served as our Chief Executive Officer and a member of our board of directors since inception. Mr. Steinert has served as our President since June 2015</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our Chairman since September 2017. From February 2000 through February 2006, Mr. Steinert was chairman and co-founder of TripAdvisor, Inc., or TripAdvisor, an online marketplace for travel-related content. Mr. Steinert holds a Masters of Business Administration from the Tuck School of Business at Dartmouth College and a Bachelor of Arts from Georgetown University.</w:t>
      </w:r>
    </w:p>
    <w:p>
      <w:pPr>
        <w:spacing w:after="0" w:line="136" w:lineRule="exact"/>
        <w:rPr>
          <w:sz w:val="20"/>
          <w:szCs w:val="20"/>
          <w:color w:val="auto"/>
        </w:rPr>
      </w:pPr>
    </w:p>
    <w:p>
      <w:pPr>
        <w:ind w:right="120" w:firstLine="326"/>
        <w:spacing w:after="0" w:line="239" w:lineRule="auto"/>
        <w:rPr>
          <w:sz w:val="20"/>
          <w:szCs w:val="20"/>
          <w:color w:val="auto"/>
        </w:rPr>
      </w:pPr>
      <w:r>
        <w:rPr>
          <w:rFonts w:ascii="Arial" w:cs="Arial" w:eastAsia="Arial" w:hAnsi="Arial"/>
          <w:sz w:val="12"/>
          <w:szCs w:val="12"/>
          <w:color w:val="auto"/>
        </w:rPr>
        <w:t>We believe Mr. Steinert is qualified to serve as a member of our board of directors because of his extensive experience in the online marketplace industry. As our founder and our Chief Executive Officer, we also value his deep understanding of our business as it has evolved over time.</w:t>
      </w:r>
    </w:p>
    <w:p>
      <w:pPr>
        <w:spacing w:after="0" w:line="125" w:lineRule="exact"/>
        <w:rPr>
          <w:sz w:val="20"/>
          <w:szCs w:val="20"/>
          <w:color w:val="auto"/>
        </w:rPr>
      </w:pPr>
    </w:p>
    <w:p>
      <w:pPr>
        <w:jc w:val="both"/>
        <w:ind w:right="220" w:firstLine="326"/>
        <w:spacing w:after="0" w:line="248" w:lineRule="auto"/>
        <w:rPr>
          <w:sz w:val="20"/>
          <w:szCs w:val="20"/>
          <w:color w:val="auto"/>
        </w:rPr>
      </w:pPr>
      <w:r>
        <w:rPr>
          <w:rFonts w:ascii="Arial" w:cs="Arial" w:eastAsia="Arial" w:hAnsi="Arial"/>
          <w:sz w:val="12"/>
          <w:szCs w:val="12"/>
          <w:b w:val="1"/>
          <w:bCs w:val="1"/>
          <w:i w:val="1"/>
          <w:iCs w:val="1"/>
          <w:color w:val="auto"/>
        </w:rPr>
        <w:t xml:space="preserve">Jason Trevisan. </w:t>
      </w:r>
      <w:r>
        <w:rPr>
          <w:rFonts w:ascii="Arial" w:cs="Arial" w:eastAsia="Arial" w:hAnsi="Arial"/>
          <w:sz w:val="12"/>
          <w:szCs w:val="12"/>
          <w:color w:val="auto"/>
        </w:rPr>
        <w:t>Jason Trevisan has served as our Chief Financial Officer since September 2015 and as our Treasurer since July 2016. Prior to joining the company, Mr. Trevisan was a General Partner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Polaris Partners, or Polaris, a venture capital firm, from September 2003 to August 2015. While at Polaris, Mr. Trevisan led investments in and served as a board director at numerous consumer Internet and software companies including Legalzoom, PartsSource, Shoedazzle, and The Roberts Group. Prior to joining Polaris, from September 1999 to June 2001,</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280"/>
        <w:spacing w:after="0" w:line="237" w:lineRule="auto"/>
        <w:rPr>
          <w:sz w:val="20"/>
          <w:szCs w:val="20"/>
          <w:color w:val="auto"/>
        </w:rPr>
      </w:pPr>
      <w:r>
        <w:rPr>
          <w:rFonts w:ascii="Arial" w:cs="Arial" w:eastAsia="Arial" w:hAnsi="Arial"/>
          <w:sz w:val="12"/>
          <w:szCs w:val="12"/>
          <w:color w:val="auto"/>
        </w:rPr>
        <w:t>Mr. Trevisan held management roles in Analytics and Client Services at aQuantive, a digital marketing service and technology company, which was acquired by Microsoft in 2007. Earlier in his career, from July 1996 to August 1999, he served as a consultant with Bain &amp; Company. Mr. Trevisan received his Masters of Business Administration from the Tuck School of Business at Dartmouth College and a Bachelor of Arts from Duke University.</w:t>
      </w:r>
    </w:p>
    <w:p>
      <w:pPr>
        <w:spacing w:after="0" w:line="127" w:lineRule="exact"/>
        <w:rPr>
          <w:sz w:val="20"/>
          <w:szCs w:val="20"/>
          <w:color w:val="auto"/>
        </w:rPr>
      </w:pPr>
    </w:p>
    <w:p>
      <w:pPr>
        <w:ind w:firstLine="326"/>
        <w:spacing w:after="0" w:line="263" w:lineRule="auto"/>
        <w:rPr>
          <w:sz w:val="20"/>
          <w:szCs w:val="20"/>
          <w:color w:val="auto"/>
        </w:rPr>
      </w:pPr>
      <w:r>
        <w:rPr>
          <w:rFonts w:ascii="Arial" w:cs="Arial" w:eastAsia="Arial" w:hAnsi="Arial"/>
          <w:sz w:val="11"/>
          <w:szCs w:val="11"/>
          <w:b w:val="1"/>
          <w:bCs w:val="1"/>
          <w:i w:val="1"/>
          <w:iCs w:val="1"/>
          <w:color w:val="auto"/>
        </w:rPr>
        <w:t xml:space="preserve">Samuel Zales. </w:t>
      </w:r>
      <w:r>
        <w:rPr>
          <w:rFonts w:ascii="Arial" w:cs="Arial" w:eastAsia="Arial" w:hAnsi="Arial"/>
          <w:sz w:val="11"/>
          <w:szCs w:val="11"/>
          <w:color w:val="auto"/>
        </w:rPr>
        <w:t>Samuel Zales has served as our Chief Operating Officer since September 2017. Mr. Zales served as our Chief Revenue Officer from December 2015 to September 2017 and as our President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Dealer Operations and International from November 2014 to December 2015. Prior to joining CarGurus, from January 2014 to October 2014, Mr. Zales was Executive Vice President of Zeta Interactive, a marketing software company that acquired ClickSquared, Inc., or ClickSquared, in January 2014. From March 2013 to January 2014, Mr. Zales was Chief Executive Officer of ClickSquared, a marketing software company. Prior to ClickSquared, Mr. Zales was a consultant to multiple technology and software companies and joined the boards of four venture-backed companies. From October 2008 to November 2011, Mr. Zales was President of Zoom Information, Inc., or ZoomInfo, a software as a service company, where he led day-to-day operations and oversaw the company's growth strategy into the marketing services and sales intelligence arenas. Prior to ZoomInfo, from January 2007 to October 2008, Mr. Zales was Chief Executive Officer of BuyerZone.com LLC, or BuyerZone, a division of Reed Business Information, a business unit of Reed Elsevier PLC, which acquired BuyerZone in January 2007. From November 1999 to January 2007, Mr. Zales was President and Chief Executive Officer of BuyerZone, an online marketplace for business purchasing, which he led to its successful acquisition by Reed Business Information. Mr. Zales holds a Masters of Business Administration from the Kellogg Graduate School of Management at Northwestern University and a Bachelor of Arts from Dartmouth College.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Employees</w:t>
      </w:r>
    </w:p>
    <w:p>
      <w:pPr>
        <w:spacing w:after="0" w:line="141" w:lineRule="exact"/>
        <w:rPr>
          <w:sz w:val="20"/>
          <w:szCs w:val="20"/>
          <w:color w:val="auto"/>
        </w:rPr>
      </w:pPr>
    </w:p>
    <w:p>
      <w:pPr>
        <w:ind w:right="260" w:firstLine="326"/>
        <w:spacing w:after="0" w:line="241" w:lineRule="auto"/>
        <w:rPr>
          <w:sz w:val="20"/>
          <w:szCs w:val="20"/>
          <w:color w:val="auto"/>
        </w:rPr>
      </w:pPr>
      <w:r>
        <w:rPr>
          <w:rFonts w:ascii="Arial" w:cs="Arial" w:eastAsia="Arial" w:hAnsi="Arial"/>
          <w:sz w:val="12"/>
          <w:szCs w:val="12"/>
          <w:b w:val="1"/>
          <w:bCs w:val="1"/>
          <w:i w:val="1"/>
          <w:iCs w:val="1"/>
          <w:color w:val="auto"/>
        </w:rPr>
        <w:t xml:space="preserve">Thomas Caputo. </w:t>
      </w:r>
      <w:r>
        <w:rPr>
          <w:rFonts w:ascii="Arial" w:cs="Arial" w:eastAsia="Arial" w:hAnsi="Arial"/>
          <w:sz w:val="12"/>
          <w:szCs w:val="12"/>
          <w:color w:val="auto"/>
        </w:rPr>
        <w:t>Thomas Caputo has served as our Senior Vice President of Product since January 2017. Prior to joining CarGurus, from July 2012 to January 2017, Mr. Caputo served as the Chief Product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Officer at Fiksu Inc., or Fiksu, a mobile marketing company. Prior to Fiksu, from January 2011 to August 2012, Mr. Caputo was vice president of product management at [x+1] Inc., or [x+1], a digital marketing company, which was acquired by Rocket Fuel Inc. in August 2014. Prior to joining [x+1], from October 2007 to January 2011, Mr. Caputo served as vice president at Advanced Technology Ventures, or ATV, a venture capital firm. Prior to joining ATV, from August 2003 to October 2007, Mr. Caputo served as a group product manager at Microsoft Corporation. Mr. Caputo holds a Masters of Science from Stanford University, a Masters of Business Administration from Stanford University Graduate School of Business and a Bachelor of Arts from Dartmouth College.</w:t>
      </w:r>
    </w:p>
    <w:p>
      <w:pPr>
        <w:spacing w:after="0" w:line="127" w:lineRule="exact"/>
        <w:rPr>
          <w:sz w:val="20"/>
          <w:szCs w:val="20"/>
          <w:color w:val="auto"/>
        </w:rPr>
      </w:pPr>
    </w:p>
    <w:p>
      <w:pPr>
        <w:ind w:right="100" w:firstLine="326"/>
        <w:spacing w:after="0" w:line="273" w:lineRule="auto"/>
        <w:rPr>
          <w:sz w:val="20"/>
          <w:szCs w:val="20"/>
          <w:color w:val="auto"/>
        </w:rPr>
      </w:pPr>
      <w:r>
        <w:rPr>
          <w:rFonts w:ascii="Arial" w:cs="Arial" w:eastAsia="Arial" w:hAnsi="Arial"/>
          <w:sz w:val="11"/>
          <w:szCs w:val="11"/>
          <w:b w:val="1"/>
          <w:bCs w:val="1"/>
          <w:i w:val="1"/>
          <w:iCs w:val="1"/>
          <w:color w:val="auto"/>
        </w:rPr>
        <w:t xml:space="preserve">Oliver Chrzan. </w:t>
      </w:r>
      <w:r>
        <w:rPr>
          <w:rFonts w:ascii="Arial" w:cs="Arial" w:eastAsia="Arial" w:hAnsi="Arial"/>
          <w:sz w:val="11"/>
          <w:szCs w:val="11"/>
          <w:color w:val="auto"/>
        </w:rPr>
        <w:t>Oliver Chrzan has served as our Senior Vice President of Engineering since November 2015. Mr. Chrzan served as our Vice President of Engineering from September 2013 to November 2015,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Director of Software Development from May 2010 to September 2013, and our Senior Software Engineer from March 2008 to May 2010. Prior to joining CarGurus, from January 2006 to January 2008, Mr. Chrzan worked as a Senior Technical Lead at Dovel Technologies, or Dovel, a software company. At Dovel, Mr. Chrzan led a team of engineers who developed large information systems for various U.S. government agencies. Prior to joining Dovel, from June 2000 to January 2006, Mr. Chrzan worked at Raytheon on several U.S. Department of Defense projects. Mr. Chrzan holds a Bachelor of Science from Cornell University.</w:t>
      </w:r>
    </w:p>
    <w:p>
      <w:pPr>
        <w:spacing w:after="0" w:line="109" w:lineRule="exact"/>
        <w:rPr>
          <w:sz w:val="20"/>
          <w:szCs w:val="20"/>
          <w:color w:val="auto"/>
        </w:rPr>
      </w:pPr>
    </w:p>
    <w:p>
      <w:pPr>
        <w:ind w:right="360" w:firstLine="326"/>
        <w:spacing w:after="0" w:line="262" w:lineRule="auto"/>
        <w:rPr>
          <w:sz w:val="20"/>
          <w:szCs w:val="20"/>
          <w:color w:val="auto"/>
        </w:rPr>
      </w:pPr>
      <w:r>
        <w:rPr>
          <w:rFonts w:ascii="Arial" w:cs="Arial" w:eastAsia="Arial" w:hAnsi="Arial"/>
          <w:sz w:val="12"/>
          <w:szCs w:val="12"/>
          <w:b w:val="1"/>
          <w:bCs w:val="1"/>
          <w:i w:val="1"/>
          <w:iCs w:val="1"/>
          <w:color w:val="auto"/>
        </w:rPr>
        <w:t xml:space="preserve">Kathleen Patton. </w:t>
      </w:r>
      <w:r>
        <w:rPr>
          <w:rFonts w:ascii="Arial" w:cs="Arial" w:eastAsia="Arial" w:hAnsi="Arial"/>
          <w:sz w:val="12"/>
          <w:szCs w:val="12"/>
          <w:color w:val="auto"/>
        </w:rPr>
        <w:t>Kathleen Patton has served as our Senior Vice President, General Counsel since August 2017 and has served as our Secretary since September 2017. Ms. Patton previously served as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Senior Vice President, General Counsel, and Secretary of Demandware, Inc., or Demandware, a provider of enterprise-class cloud commerce solutions for retailers and branded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manufacturers, from June 2015 until August 2016 and as Demandware's Associate General Counsel from April 2012 until June 2015. From June 2010 until March 2012, Ms. Patton was Associate General Counsel at Stream Global Services, Inc., or Stream, a business process outsource service provider specializing in customer relationship management. Prior to joining Stream, Ms. Patton worked in law firms, as the Director of Practice Development at Brown Rudnick LLP, the Practice Director at Day Pitney LLP, a corporate partner and associate at McDermott, Will &amp; Emery LLP and an associate at Walter, Conston, Alexander &amp; Green, P.C. Ms. Patton holds a Bachelor of Arts from Dartmouth College and a Juris Doctor from Georgetown University Law Center.</w:t>
      </w:r>
    </w:p>
    <w:p>
      <w:pPr>
        <w:spacing w:after="0" w:line="125" w:lineRule="exact"/>
        <w:rPr>
          <w:sz w:val="20"/>
          <w:szCs w:val="20"/>
          <w:color w:val="auto"/>
        </w:rPr>
      </w:pPr>
    </w:p>
    <w:p>
      <w:pPr>
        <w:ind w:right="80" w:firstLine="326"/>
        <w:spacing w:after="0" w:line="241" w:lineRule="auto"/>
        <w:rPr>
          <w:sz w:val="20"/>
          <w:szCs w:val="20"/>
          <w:color w:val="auto"/>
        </w:rPr>
      </w:pPr>
      <w:r>
        <w:rPr>
          <w:rFonts w:ascii="Arial" w:cs="Arial" w:eastAsia="Arial" w:hAnsi="Arial"/>
          <w:sz w:val="12"/>
          <w:szCs w:val="12"/>
          <w:b w:val="1"/>
          <w:bCs w:val="1"/>
          <w:i w:val="1"/>
          <w:iCs w:val="1"/>
          <w:color w:val="auto"/>
        </w:rPr>
        <w:t xml:space="preserve">Sarah Welch. </w:t>
      </w:r>
      <w:r>
        <w:rPr>
          <w:rFonts w:ascii="Arial" w:cs="Arial" w:eastAsia="Arial" w:hAnsi="Arial"/>
          <w:sz w:val="12"/>
          <w:szCs w:val="12"/>
          <w:color w:val="auto"/>
        </w:rPr>
        <w:t>Sarah Welch has served as our Senior Vice President of Consumer Marketing since February 2016. Prior to joining CarGurus, from August 2011 to January 2016, Ms. Welch was Chief Marketing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Officer and General Manager, Consumer at Gazelle, Inc., or Gazelle, a consumer electronics marketplace where she oversaw the end-to-end consumer experience including all aspects of marketing, product management, customer care, and direct-to-consumer sales. Prior to Gazelle, from January 2005 to July 2011, Ms. Welch held various positions at TripAdvisor, an online marketplace for travel-related content. Her roles at TripAdvisor included Vice President of the TripAdvisor Media Group from July 2009 to August 2011, Vice President of Marketing from March 2008 to July 2009, and Director from January 2005 to March 2008. Ms. Welch holds a Masters of Business Administration from Stanford University and a Bachelor of Arts from Brown University.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Directors</w:t>
      </w:r>
    </w:p>
    <w:p>
      <w:pPr>
        <w:spacing w:after="0" w:line="141" w:lineRule="exact"/>
        <w:rPr>
          <w:sz w:val="20"/>
          <w:szCs w:val="20"/>
          <w:color w:val="auto"/>
        </w:rPr>
      </w:pPr>
    </w:p>
    <w:p>
      <w:pPr>
        <w:ind w:right="60" w:firstLine="326"/>
        <w:spacing w:after="0" w:line="241" w:lineRule="auto"/>
        <w:rPr>
          <w:sz w:val="20"/>
          <w:szCs w:val="20"/>
          <w:color w:val="auto"/>
        </w:rPr>
      </w:pPr>
      <w:r>
        <w:rPr>
          <w:rFonts w:ascii="Arial" w:cs="Arial" w:eastAsia="Arial" w:hAnsi="Arial"/>
          <w:sz w:val="12"/>
          <w:szCs w:val="12"/>
          <w:b w:val="1"/>
          <w:bCs w:val="1"/>
          <w:i w:val="1"/>
          <w:iCs w:val="1"/>
          <w:color w:val="auto"/>
        </w:rPr>
        <w:t xml:space="preserve">Stephen Kaufer. </w:t>
      </w:r>
      <w:r>
        <w:rPr>
          <w:rFonts w:ascii="Arial" w:cs="Arial" w:eastAsia="Arial" w:hAnsi="Arial"/>
          <w:sz w:val="12"/>
          <w:szCs w:val="12"/>
          <w:color w:val="auto"/>
        </w:rPr>
        <w:t>Mr. Kaufer has served as a member of our board of directors since June 2007. He co-founded TripAdvisor, an online marketplace for travel-related content, in February 2000 and has been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President and Chief Executive Officer of TripAdvisor since that time. Mr. Kaufer has been a director of TripAdvisor since the completion of its spin-off from Expedia, Inc. in December 2011. Prior to co-founding TripAdvisor, Mr. Kaufer served as President of CDS, Inc., or CDS, an independent software vendor specializing in programming and testing tools. Prior to joining CDS, Mr. Kaufer co-founded CenterLine Software in 1985 and served as its Vice President of Engineering until 1998. Mr. Kaufer serves on the boards of several privately held companies, including LiveData, Inc. and GlassDoor, Inc., as well as the Neuroendocrine Tumor Research Foundation. Mr. Kaufer holds a Bachelor of Arts from Harvard University.</w:t>
      </w:r>
    </w:p>
    <w:p>
      <w:pPr>
        <w:spacing w:after="0" w:line="141" w:lineRule="exact"/>
        <w:rPr>
          <w:sz w:val="20"/>
          <w:szCs w:val="20"/>
          <w:color w:val="auto"/>
        </w:rPr>
      </w:pPr>
    </w:p>
    <w:p>
      <w:pPr>
        <w:ind w:right="320" w:firstLine="326"/>
        <w:spacing w:after="0" w:line="239" w:lineRule="auto"/>
        <w:rPr>
          <w:sz w:val="20"/>
          <w:szCs w:val="20"/>
          <w:color w:val="auto"/>
        </w:rPr>
      </w:pPr>
      <w:r>
        <w:rPr>
          <w:rFonts w:ascii="Arial" w:cs="Arial" w:eastAsia="Arial" w:hAnsi="Arial"/>
          <w:sz w:val="12"/>
          <w:szCs w:val="12"/>
          <w:color w:val="auto"/>
        </w:rPr>
        <w:t>We believe Mr. Kaufer is qualified to serve as a member of our board of directors because of his extensive experience as an executive in the online marketplace industry. Mr. Kaufer also possesses strategic and governance skills gained through his executive and director roles with several privately held companies.</w:t>
      </w:r>
    </w:p>
    <w:p>
      <w:pPr>
        <w:spacing w:after="0" w:line="125" w:lineRule="exact"/>
        <w:rPr>
          <w:sz w:val="20"/>
          <w:szCs w:val="20"/>
          <w:color w:val="auto"/>
        </w:rPr>
      </w:pPr>
    </w:p>
    <w:p>
      <w:pPr>
        <w:ind w:firstLine="321"/>
        <w:spacing w:after="0" w:line="244" w:lineRule="auto"/>
        <w:rPr>
          <w:sz w:val="20"/>
          <w:szCs w:val="20"/>
          <w:color w:val="auto"/>
        </w:rPr>
      </w:pPr>
      <w:r>
        <w:rPr>
          <w:rFonts w:ascii="Arial" w:cs="Arial" w:eastAsia="Arial" w:hAnsi="Arial"/>
          <w:sz w:val="12"/>
          <w:szCs w:val="12"/>
          <w:b w:val="1"/>
          <w:bCs w:val="1"/>
          <w:i w:val="1"/>
          <w:iCs w:val="1"/>
          <w:color w:val="auto"/>
        </w:rPr>
        <w:t xml:space="preserve">Anastasios Parafestas. </w:t>
      </w:r>
      <w:r>
        <w:rPr>
          <w:rFonts w:ascii="Arial" w:cs="Arial" w:eastAsia="Arial" w:hAnsi="Arial"/>
          <w:sz w:val="12"/>
          <w:szCs w:val="12"/>
          <w:color w:val="auto"/>
        </w:rPr>
        <w:t>Mr. Parafestas has served as a member of our board of directors since March 2006. Mr. Parafestas founded, and has been the President and Managing Member of, The Bollard Group LLC,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investment advisory firm, since July 1995, and its private equity arm Spinnaker Capital LLC, since March 2000. Spinnaker Capital LLC is the Managing Member of Argonaut 22 LLC, a holder of more than 5% of our capital stock. During the past five years, Mr. Parafestas has served as a member of the board of directors of seven private companies and served as a member of the audit and compensation committees of two of such companies. Mr. Parafestas holds a Master of Law in Taxation from Boston University, a Juris Doctor from New England Law Boston, and a Bachelor of Science from Bentley College.</w:t>
      </w:r>
    </w:p>
    <w:p>
      <w:pPr>
        <w:spacing w:after="0" w:line="137" w:lineRule="exact"/>
        <w:rPr>
          <w:sz w:val="20"/>
          <w:szCs w:val="20"/>
          <w:color w:val="auto"/>
        </w:rPr>
      </w:pPr>
    </w:p>
    <w:p>
      <w:pPr>
        <w:ind w:right="120" w:firstLine="326"/>
        <w:spacing w:after="0" w:line="239" w:lineRule="auto"/>
        <w:rPr>
          <w:sz w:val="20"/>
          <w:szCs w:val="20"/>
          <w:color w:val="auto"/>
        </w:rPr>
      </w:pPr>
      <w:r>
        <w:rPr>
          <w:rFonts w:ascii="Arial" w:cs="Arial" w:eastAsia="Arial" w:hAnsi="Arial"/>
          <w:sz w:val="12"/>
          <w:szCs w:val="12"/>
          <w:color w:val="auto"/>
        </w:rPr>
        <w:t>We believe Mr. Parafestas is qualified to serve as a member of our board of directors because of his extensive business experience in the areas of investment management, accounting, taxation, and consulting and his years of experience serving as a board member.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ind w:firstLine="326"/>
        <w:spacing w:after="0"/>
        <w:rPr>
          <w:sz w:val="20"/>
          <w:szCs w:val="20"/>
          <w:color w:val="auto"/>
        </w:rPr>
      </w:pPr>
      <w:r>
        <w:rPr>
          <w:rFonts w:ascii="Arial" w:cs="Arial" w:eastAsia="Arial" w:hAnsi="Arial"/>
          <w:sz w:val="12"/>
          <w:szCs w:val="12"/>
          <w:b w:val="1"/>
          <w:bCs w:val="1"/>
          <w:i w:val="1"/>
          <w:iCs w:val="1"/>
          <w:color w:val="auto"/>
        </w:rPr>
        <w:t xml:space="preserve">David Parker. </w:t>
      </w:r>
      <w:r>
        <w:rPr>
          <w:rFonts w:ascii="Arial" w:cs="Arial" w:eastAsia="Arial" w:hAnsi="Arial"/>
          <w:sz w:val="12"/>
          <w:szCs w:val="12"/>
          <w:color w:val="auto"/>
        </w:rPr>
        <w:t>Mr. Parker has served as a member of our board of directors since March 2006. Mr. Parker also currently serves as the Chief Executive Officer of Entrepreneurship For All, Inc., a non-profit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organization. Mr. Parker founded DigitalAdvisor, an Internet company, in February 2003 and served as DigitalAdvisor's Chief Executive Officer until August 2011. Prior to founding DigitalAdvisor, from August 2000 to September 2002, Mr. Parker was co-founder and Vice President of Business Development for SoundBite Communications, Inc., or SoundBite, an automated customer contact solution delivered over the telephone. Prior to founding SoundBite, from February 1999 to August 2000, Mr. Parker was Vice President of Business Development of Direct Hit Technologies, Inc., an Internet search technology company, which was sold to Ask Jeeves Inc. Mr. Parker was General Manager of New Media at Viaweb Inc. from November 1997 to February 1999. Mr. Parker currently serves as a member of the board of directors of two private companies. Mr. Parker holds a Masters of Business Administration and Bachelor of Arts from Harvard University.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Mr. Parker is qualified to serve as a member of our board of directors because of his extensive background with consumer Internet companies and his prior experience as a board member.</w:t>
      </w:r>
    </w:p>
    <w:p>
      <w:pPr>
        <w:spacing w:after="0" w:line="127" w:lineRule="exact"/>
        <w:rPr>
          <w:sz w:val="20"/>
          <w:szCs w:val="20"/>
          <w:color w:val="auto"/>
        </w:rPr>
      </w:pPr>
    </w:p>
    <w:p>
      <w:pPr>
        <w:ind w:right="100" w:firstLine="326"/>
        <w:spacing w:after="0" w:line="241" w:lineRule="auto"/>
        <w:rPr>
          <w:sz w:val="20"/>
          <w:szCs w:val="20"/>
          <w:color w:val="auto"/>
        </w:rPr>
      </w:pPr>
      <w:r>
        <w:rPr>
          <w:rFonts w:ascii="Arial" w:cs="Arial" w:eastAsia="Arial" w:hAnsi="Arial"/>
          <w:sz w:val="12"/>
          <w:szCs w:val="12"/>
          <w:b w:val="1"/>
          <w:bCs w:val="1"/>
          <w:i w:val="1"/>
          <w:iCs w:val="1"/>
          <w:color w:val="auto"/>
        </w:rPr>
        <w:t xml:space="preserve">Simon Rothman. </w:t>
      </w:r>
      <w:r>
        <w:rPr>
          <w:rFonts w:ascii="Arial" w:cs="Arial" w:eastAsia="Arial" w:hAnsi="Arial"/>
          <w:sz w:val="12"/>
          <w:szCs w:val="12"/>
          <w:color w:val="auto"/>
        </w:rPr>
        <w:t>Mr. Rothman has served as a member of our board of directors since March 2006. Mr. Rothman has also been a Partner and Executive in Residence at Greylock Partners, a venture capital firm,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since December 2011. From January 2006 to December 2010, Mr. Rothman served as the founder and Chief Executive Officer of Glyde Corporation, an online resale marketplace. From January 1999 to September 2005, Mr. Rothman held various roles at eBay Inc., an e-commerce company. These roles included Vice President of U.S. Operations and Global Vice President, eBay Motors. Prior to joining eBay, he worked at McKinsey &amp; Company, a management consulting firm. Mr. Rothman has served as a member of several boards of directors of private companies over the past five years including serving on the board of Tesla Motors, Inc. prior to its initial public offering. Mr. Rothman holds a Masters in Business Administration from Harvard University.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We believe Mr. Rothman is qualified to serve as a member of our board of directors because of his extensive experience in the online automobile marketplace industry and his experience acting as a board member.</w:t>
      </w:r>
    </w:p>
    <w:p>
      <w:pPr>
        <w:spacing w:after="0" w:line="139" w:lineRule="exact"/>
        <w:rPr>
          <w:sz w:val="20"/>
          <w:szCs w:val="20"/>
          <w:color w:val="auto"/>
        </w:rPr>
      </w:pPr>
    </w:p>
    <w:p>
      <w:pPr>
        <w:jc w:val="both"/>
        <w:ind w:right="240" w:firstLine="326"/>
        <w:spacing w:after="0" w:line="248" w:lineRule="auto"/>
        <w:rPr>
          <w:sz w:val="20"/>
          <w:szCs w:val="20"/>
          <w:color w:val="auto"/>
        </w:rPr>
      </w:pPr>
      <w:r>
        <w:rPr>
          <w:rFonts w:ascii="Arial" w:cs="Arial" w:eastAsia="Arial" w:hAnsi="Arial"/>
          <w:sz w:val="12"/>
          <w:szCs w:val="12"/>
          <w:b w:val="1"/>
          <w:bCs w:val="1"/>
          <w:i w:val="1"/>
          <w:iCs w:val="1"/>
          <w:color w:val="auto"/>
        </w:rPr>
        <w:t xml:space="preserve">Ian Smith. </w:t>
      </w:r>
      <w:r>
        <w:rPr>
          <w:rFonts w:ascii="Arial" w:cs="Arial" w:eastAsia="Arial" w:hAnsi="Arial"/>
          <w:sz w:val="12"/>
          <w:szCs w:val="12"/>
          <w:color w:val="auto"/>
        </w:rPr>
        <w:t>Mr. Smith has served as a member of our board of directors since June 2007. Mr. Smith has been a Managing Director at Allen &amp; Company LLC, a holder of more than 5% of our capital stock, since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March 2003, where Mr. Smith focuses on technology companies, providing advice and investment. Mr. Smith currently serves on the board of directors of Aurora Innovation, Inc., a privately held provider of autonomous vehicle technology. Mr. Smith holds a Bachelor of Arts from Williams College.</w:t>
      </w:r>
    </w:p>
    <w:p>
      <w:pPr>
        <w:spacing w:after="0" w:line="136"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We believe Mr. Smith is qualified to serve as a member of our board of directors because of his extensive experience working with and advising technology companies on strategic transactions through his investment banking and investing experience, as well as his insight into financial and investment matters.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55" w:lineRule="exact"/>
        <w:rPr>
          <w:sz w:val="20"/>
          <w:szCs w:val="20"/>
          <w:color w:val="auto"/>
        </w:rPr>
      </w:pPr>
    </w:p>
    <w:p>
      <w:pPr>
        <w:ind w:right="600" w:firstLine="326"/>
        <w:spacing w:after="0" w:line="237" w:lineRule="auto"/>
        <w:rPr>
          <w:sz w:val="20"/>
          <w:szCs w:val="20"/>
          <w:color w:val="auto"/>
        </w:rPr>
      </w:pPr>
      <w:r>
        <w:rPr>
          <w:rFonts w:ascii="Arial" w:cs="Arial" w:eastAsia="Arial" w:hAnsi="Arial"/>
          <w:sz w:val="12"/>
          <w:szCs w:val="12"/>
          <w:color w:val="auto"/>
        </w:rPr>
        <w:t>Our business and affairs are managed under the direction of our board of directors. The number of directors is fixed by our board of directors, subject to the terms of our amended and restated certificate of incorporation and amended and restated bylaws that will become effective upon the closing of our initial public offering, or IPO. Our board of directors currently consists of six directors, three of whom qualify as "independent" under the NASDAQ rules.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17" w:name="page118"/>
    <w:bookmarkEnd w:id="11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right="100" w:firstLine="326"/>
        <w:spacing w:after="0" w:line="237" w:lineRule="auto"/>
        <w:rPr>
          <w:sz w:val="20"/>
          <w:szCs w:val="20"/>
          <w:color w:val="auto"/>
        </w:rPr>
      </w:pPr>
      <w:r>
        <w:rPr>
          <w:rFonts w:ascii="Arial" w:cs="Arial" w:eastAsia="Arial" w:hAnsi="Arial"/>
          <w:sz w:val="12"/>
          <w:szCs w:val="12"/>
          <w:color w:val="auto"/>
        </w:rPr>
        <w:t>In accordance with the amended and restated certificate of incorporation and our amended and restated bylaws that will become effective upon the closing of our IPO,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41" w:lineRule="exact"/>
        <w:rPr>
          <w:sz w:val="20"/>
          <w:szCs w:val="20"/>
          <w:color w:val="auto"/>
        </w:rPr>
      </w:pPr>
    </w:p>
    <w:p>
      <w:pPr>
        <w:ind w:left="720" w:hanging="368"/>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Class I directors are David Parker and Simon Rothman, and their terms will expire at the annual meeting of stockholders to be held in 2018;</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Class II directors are Anastasios Parafestas and Stephen Kaufer, and their terms will expire at the annual meeting of stockholders to be held in 2019;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Class III directors are Langley Steinert and Ian Smith, and their terms will expire at the annual meeting of stockholders to be held in 2020.</w:t>
      </w:r>
    </w:p>
    <w:p>
      <w:pPr>
        <w:spacing w:after="0" w:line="141"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division of our board of directors into three classes with staggered three-year terms may delay or prevent a change of our management or a change of control. Under Delaware law, our directors may be removed for cause by the affirmative vote of the holders of a majority of the votes applicable to our outstanding voting stock. Our amended and restated certificate of incorporation will provide that from and after the date, which we refer to as the threshold date, on which the votes applicable to the Class A common stock and Class B common stock controlled by our founder and Chief Executive Officer, Langley Steinert, represent less than a majority of the aggregate votes applicable to all shares of the outstanding Class A common stock and Class B common stock, directors may not be removed by our stockholders without cause.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Any increase or decrease in the number of directors will be distributed among the three classes so that, as nearly as possible, each class will consist of one-third of the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board of directors has undertaken a review of the independence of each director. Based on information provided by each director concerning his or her background, employment and affiliations, our board of directors determined that each of Stephen Kaufer, David Parker, and Simon Rothman does not have a relationship that would interfere with the exercise of independent judgment in carrying out the responsibilities of a director and that each of these directors is "independent" as that term is defined under the applicable rules and regulations of the Securities and Exchange Commission, or the SEC, and the listing requirements and rules of the NASDAQ Global Select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each non-employee director's beneficial ownership of our capital stock and the transactions involving them described in the section titled "Certain Relationships, Related Person, and Other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Controlled Company</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Because Mr. Steinert controls a majority of our outstanding voting power, we will be a "controlled company" under the corporate governance rules for NASDAQ-listed companies. Under these rules, a company is a "controlled company" if more than 50% of the voting power in the election of directors is held by an individual, group or another company. A "controlled company" may elect not to comply with certain corporate governance requirements, including the requirements that:</w:t>
      </w:r>
    </w:p>
    <w:p>
      <w:pPr>
        <w:spacing w:after="0" w:line="141" w:lineRule="exact"/>
        <w:rPr>
          <w:sz w:val="20"/>
          <w:szCs w:val="20"/>
          <w:color w:val="auto"/>
        </w:rPr>
      </w:pPr>
    </w:p>
    <w:p>
      <w:pPr>
        <w:ind w:left="720" w:hanging="368"/>
        <w:spacing w:after="0"/>
        <w:tabs>
          <w:tab w:leader="none" w:pos="7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 majority of the board of directors consist of independent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right="80" w:hanging="368"/>
        <w:spacing w:after="0" w:line="239" w:lineRule="auto"/>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compensation committee be composed entirely of directors meeting NASDAQ independence standards applicable to compensation committee members with a written charter addressing the committee's purpose and responsibilities;</w:t>
      </w:r>
    </w:p>
    <w:p>
      <w:pPr>
        <w:spacing w:after="0" w:line="139" w:lineRule="exact"/>
        <w:rPr>
          <w:rFonts w:ascii="Arial" w:cs="Arial" w:eastAsia="Arial" w:hAnsi="Arial"/>
          <w:sz w:val="12"/>
          <w:szCs w:val="12"/>
          <w:color w:val="auto"/>
        </w:rPr>
      </w:pPr>
    </w:p>
    <w:p>
      <w:pPr>
        <w:ind w:left="720" w:right="360" w:hanging="368"/>
        <w:spacing w:after="0" w:line="239" w:lineRule="auto"/>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compensation committee be responsible for the hiring and overseeing of persons acting as compensation consultants and be required to consider certain independence factors when engaging such persons; and</w:t>
      </w:r>
    </w:p>
    <w:p>
      <w:pPr>
        <w:spacing w:after="0" w:line="130" w:lineRule="exact"/>
        <w:rPr>
          <w:rFonts w:ascii="Arial" w:cs="Arial" w:eastAsia="Arial" w:hAnsi="Arial"/>
          <w:sz w:val="12"/>
          <w:szCs w:val="12"/>
          <w:color w:val="auto"/>
        </w:rPr>
      </w:pPr>
    </w:p>
    <w:p>
      <w:pPr>
        <w:ind w:left="720" w:hanging="368"/>
        <w:spacing w:after="0" w:line="239" w:lineRule="auto"/>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139"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Following this offering, we intend to initially avail ourselves of certain of these exemptions and, for so long as we qualify as a "controlled company," we will maintain the option to utilize from time to time some or all of these exemptions. For example, upon the closing of this offering our compensation committee will not consist entirely of independent directors and we will not have a nominating and corporate governance committee. 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Particularly, if Mr. Steinert retains a significant portion of his holdings of Class B common stock for an extended period of time, he could, in the future, continue to control a majority of the combined voting power of our outstanding capital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Leadership Structure</w:t>
      </w:r>
    </w:p>
    <w:p>
      <w:pPr>
        <w:spacing w:after="0" w:line="155" w:lineRule="exact"/>
        <w:rPr>
          <w:sz w:val="20"/>
          <w:szCs w:val="20"/>
          <w:color w:val="auto"/>
        </w:rPr>
      </w:pPr>
    </w:p>
    <w:p>
      <w:pPr>
        <w:ind w:right="400" w:firstLine="326"/>
        <w:spacing w:after="0" w:line="239" w:lineRule="auto"/>
        <w:rPr>
          <w:sz w:val="20"/>
          <w:szCs w:val="20"/>
          <w:color w:val="auto"/>
        </w:rPr>
      </w:pPr>
      <w:r>
        <w:rPr>
          <w:rFonts w:ascii="Arial" w:cs="Arial" w:eastAsia="Arial" w:hAnsi="Arial"/>
          <w:sz w:val="12"/>
          <w:szCs w:val="12"/>
          <w:color w:val="auto"/>
        </w:rPr>
        <w:t>Langley Steinert is the Chairman of our board of directors. We have a separate chair for each committee of our board of directors. The chairs of each committee are expected to report annually to our board of directors on the activities of their committee in fulfilling their responsibilities as detailed in their respective charters and to specify shortcomings, if any.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Board's Role in Risk Oversight</w:t>
      </w:r>
    </w:p>
    <w:p>
      <w:pPr>
        <w:spacing w:after="0" w:line="155" w:lineRule="exact"/>
        <w:rPr>
          <w:sz w:val="20"/>
          <w:szCs w:val="20"/>
          <w:color w:val="auto"/>
        </w:rPr>
      </w:pPr>
    </w:p>
    <w:p>
      <w:pPr>
        <w:ind w:right="100" w:firstLine="326"/>
        <w:spacing w:after="0" w:line="269" w:lineRule="auto"/>
        <w:rPr>
          <w:sz w:val="20"/>
          <w:szCs w:val="20"/>
          <w:color w:val="auto"/>
        </w:rPr>
      </w:pPr>
      <w:r>
        <w:rPr>
          <w:rFonts w:ascii="Arial" w:cs="Arial" w:eastAsia="Arial" w:hAnsi="Arial"/>
          <w:sz w:val="11"/>
          <w:szCs w:val="11"/>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 of the operations and corporate functions of our company, our board of directors addresses the principal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Committees of our Board of Directors</w:t>
      </w:r>
    </w:p>
    <w:p>
      <w:pPr>
        <w:spacing w:after="0" w:line="155"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Our board of directors has an audit committee and a compensation committee. The composition and responsibilities of each of the committees of our board of directors are described below. Members serve on these committees until their resignation or until otherwise determined by our board of directors.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19" w:name="page120"/>
    <w:bookmarkEnd w:id="11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Audit Committee</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Our audit committee is comprised of Simon Rothman, David Parker, and Stephen Kaufer. Simon Rothman serves as our audit committee chairperson. Each of Simon Rothman, David Parker, and Stephen Kaufer meets the requirements for independence of audit committee members under current NASDAQ and SEC rules and regulations. Each member of our audit committee meets the financial literacy requirements of the current NASDAQ rules. In addition, our board of directors has determined that Simon Rothman is an audit committee financial expert within the meaning of Item 407(d) of Regulation S-K under the Securities Act of 1933, as amended, or the Securities Act. The responsibilities of our audit committee include, among other things:</w:t>
      </w:r>
    </w:p>
    <w:p>
      <w:pPr>
        <w:spacing w:after="0" w:line="139" w:lineRule="exact"/>
        <w:rPr>
          <w:sz w:val="20"/>
          <w:szCs w:val="20"/>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selecting and hiring the independent registered public accounting firm to audit our financial statements;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helping to make certain of and confirm the independence and performance of the independent registered public accounting firm;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approving scope, fees, and terms of all audit and permissible non-audit engagements;</w:t>
      </w:r>
    </w:p>
    <w:p>
      <w:pPr>
        <w:spacing w:after="0" w:line="132" w:lineRule="exact"/>
        <w:rPr>
          <w:rFonts w:ascii="Arial" w:cs="Arial" w:eastAsia="Arial" w:hAnsi="Arial"/>
          <w:sz w:val="12"/>
          <w:szCs w:val="12"/>
          <w:color w:val="auto"/>
        </w:rPr>
      </w:pPr>
    </w:p>
    <w:p>
      <w:pPr>
        <w:ind w:left="720" w:right="220" w:hanging="368"/>
        <w:spacing w:after="0" w:line="239" w:lineRule="auto"/>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to be included in our annual proxy statement;</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reports and communications from the independent registered public accounting firm;</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the adequacy and effectiveness of our internal controls and disclosure controls and procedures;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our policies on risk assessment and risk management;</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related person transactions;</w:t>
      </w:r>
    </w:p>
    <w:p>
      <w:pPr>
        <w:spacing w:after="0" w:line="132" w:lineRule="exact"/>
        <w:rPr>
          <w:rFonts w:ascii="Arial" w:cs="Arial" w:eastAsia="Arial" w:hAnsi="Arial"/>
          <w:sz w:val="12"/>
          <w:szCs w:val="12"/>
          <w:color w:val="auto"/>
        </w:rPr>
      </w:pPr>
    </w:p>
    <w:p>
      <w:pPr>
        <w:ind w:left="720" w:right="120" w:hanging="368"/>
        <w:spacing w:after="0" w:line="239" w:lineRule="auto"/>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overseeing procedures for the receipt, retention, and treatment of accounting-related complaints and the confidential submission by our employees of concerns regarding questionable accounting or auditing matters; and</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reviewing annually the audit committee charter and the committee's performance.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audit committee operates under a written charter that satisfies the applicable rules of the SEC and NASDAQ. We intend to comply with future requirements to the extent they become applicable to us.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155" w:lineRule="exact"/>
        <w:rPr>
          <w:sz w:val="20"/>
          <w:szCs w:val="20"/>
          <w:color w:val="auto"/>
        </w:rPr>
      </w:pPr>
    </w:p>
    <w:p>
      <w:pPr>
        <w:ind w:firstLine="326"/>
        <w:spacing w:after="0" w:line="264" w:lineRule="auto"/>
        <w:rPr>
          <w:sz w:val="20"/>
          <w:szCs w:val="20"/>
          <w:color w:val="auto"/>
        </w:rPr>
      </w:pPr>
      <w:r>
        <w:rPr>
          <w:rFonts w:ascii="Arial" w:cs="Arial" w:eastAsia="Arial" w:hAnsi="Arial"/>
          <w:sz w:val="11"/>
          <w:szCs w:val="11"/>
          <w:color w:val="auto"/>
        </w:rPr>
        <w:t>Our compensation committee is comprised of Ian Smith, Simon Rothman, and Anastasios Parafestas. Ian Smith serves as our compensation committee chairperson. Because we will be a "controlled company" under NASDAQ rules, our compensation committee is not required to be fully independent, although if such rules change in the future or we no longer meet the definition of a "controlled company" under the current rules, we will adjust the composition of the compensation committee in order to comply with such rules. The purpose of our compensation committee is, to the extent such tasks are not performed by our full board of directors, to oversee our compensation policies, plans, and benefit programs and to discharge the responsibilities of our board of directors relating to compensation of our executive officers. Our compensation committee operates under a</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20" w:name="page121"/>
    <w:bookmarkEnd w:id="12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written charter. Except to the extent that our full board of directors undertakes any responsibility directly, the responsibilities of our compensation committee include, among other things:</w:t>
      </w:r>
    </w:p>
    <w:p>
      <w:pPr>
        <w:spacing w:after="0" w:line="141" w:lineRule="exact"/>
        <w:rPr>
          <w:sz w:val="20"/>
          <w:szCs w:val="20"/>
          <w:color w:val="auto"/>
        </w:rPr>
      </w:pPr>
    </w:p>
    <w:p>
      <w:pPr>
        <w:ind w:left="720" w:hanging="368"/>
        <w:spacing w:after="0"/>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overseeing our compensation policies, plans, and benefit programs;</w:t>
      </w:r>
    </w:p>
    <w:p>
      <w:pPr>
        <w:spacing w:after="0" w:line="141" w:lineRule="exact"/>
        <w:rPr>
          <w:rFonts w:ascii="Arial" w:cs="Arial" w:eastAsia="Arial" w:hAnsi="Arial"/>
          <w:sz w:val="12"/>
          <w:szCs w:val="12"/>
          <w:color w:val="auto"/>
        </w:rPr>
      </w:pPr>
    </w:p>
    <w:p>
      <w:pPr>
        <w:ind w:left="720" w:right="340" w:hanging="368"/>
        <w:spacing w:after="0" w:line="239" w:lineRule="auto"/>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reviewing and approving, or making recommendations to our board of directors regarding, the compensation of our executive officers (other than the Chief Executive Officer, for which the compensation committee only makes a recommendation to the board of directors);</w:t>
      </w:r>
    </w:p>
    <w:p>
      <w:pPr>
        <w:spacing w:after="0" w:line="130" w:lineRule="exact"/>
        <w:rPr>
          <w:rFonts w:ascii="Arial" w:cs="Arial" w:eastAsia="Arial" w:hAnsi="Arial"/>
          <w:sz w:val="12"/>
          <w:szCs w:val="12"/>
          <w:color w:val="auto"/>
        </w:rPr>
      </w:pPr>
    </w:p>
    <w:p>
      <w:pPr>
        <w:ind w:left="720" w:hanging="368"/>
        <w:spacing w:after="0" w:line="239" w:lineRule="auto"/>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reviewing and approving, and, where appropriate, recommending to the board of directors for approval, any material employment agreements, severance arrangements and change in control agreements and provisions for the Chief Executive Officer and other executive officers when, and if, appropriate, as well as any special supplemental benefits;</w:t>
      </w:r>
    </w:p>
    <w:p>
      <w:pPr>
        <w:spacing w:after="0" w:line="130" w:lineRule="exact"/>
        <w:rPr>
          <w:rFonts w:ascii="Arial" w:cs="Arial" w:eastAsia="Arial" w:hAnsi="Arial"/>
          <w:sz w:val="12"/>
          <w:szCs w:val="12"/>
          <w:color w:val="auto"/>
        </w:rPr>
      </w:pPr>
    </w:p>
    <w:p>
      <w:pPr>
        <w:ind w:left="720" w:hanging="368"/>
        <w:spacing w:after="0"/>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reviewing annually the compensation committee charter and compensation committee performance;</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preparing the compensation committee report that the SEC requires to be included in our annual proxy statement;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administering our equity compensation plans.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No member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 Each of Ian Smith and Anastasios Parafestas, through entities with respect to which he has sole investment power or a trust to which he is a co-trustee, have engaged in transactions which have been disclosed pursuant to Item 404 of Regulation S-K under the Securities Act. See "Certain Relationships, Related Person and Other Transactions" on page 136 for additional information regarding these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5" w:lineRule="exact"/>
        <w:rPr>
          <w:sz w:val="20"/>
          <w:szCs w:val="20"/>
          <w:color w:val="auto"/>
        </w:rPr>
      </w:pPr>
    </w:p>
    <w:p>
      <w:pPr>
        <w:ind w:right="120" w:firstLine="326"/>
        <w:spacing w:after="0" w:line="237" w:lineRule="auto"/>
        <w:rPr>
          <w:sz w:val="20"/>
          <w:szCs w:val="20"/>
          <w:color w:val="auto"/>
        </w:rPr>
      </w:pPr>
      <w:r>
        <w:rPr>
          <w:rFonts w:ascii="Arial" w:cs="Arial" w:eastAsia="Arial" w:hAnsi="Arial"/>
          <w:sz w:val="12"/>
          <w:szCs w:val="12"/>
          <w:color w:val="auto"/>
        </w:rPr>
        <w:t>We have adopted a Code of Business Conduct and Ethics that will be effective upon the closing of this offering that is applicable to all of our employees, officers, and directors, including our Chief Executive Officer, Chief Financial Officer, and other executive and senior financial officers. The Code of Business Conduct and Ethics will be available on our website. We expect that any amendments to the code, or any waivers of its requirements, will be disclosed on our website.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 Compensation</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During our fiscal year ended December 31, 2016, we did not pay any cash compensation or make any stock or option grants to our non-employee directors for their service as board members. A non-employee director is a director who is not employed by us and who does not receive compensation from us (other than for services as a director) or have a business relationship with us that would require disclosure under certain SEC rules. Directors who are also our employees receive no additional compensation for their service as directors. During our fiscal year ended December 31, 2016, Mr. Steinert served as both an employee and a director. See the section titled "Executive Compensation" for additional information about his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Non-Employee Director Compensation Policy</w:t>
      </w:r>
    </w:p>
    <w:p>
      <w:pPr>
        <w:spacing w:after="0" w:line="155" w:lineRule="exact"/>
        <w:rPr>
          <w:sz w:val="20"/>
          <w:szCs w:val="20"/>
          <w:color w:val="auto"/>
        </w:rPr>
      </w:pPr>
    </w:p>
    <w:p>
      <w:pPr>
        <w:ind w:right="120" w:firstLine="326"/>
        <w:spacing w:after="0" w:line="239" w:lineRule="auto"/>
        <w:rPr>
          <w:sz w:val="20"/>
          <w:szCs w:val="20"/>
          <w:color w:val="auto"/>
        </w:rPr>
      </w:pPr>
      <w:r>
        <w:rPr>
          <w:rFonts w:ascii="Arial" w:cs="Arial" w:eastAsia="Arial" w:hAnsi="Arial"/>
          <w:sz w:val="12"/>
          <w:szCs w:val="12"/>
          <w:color w:val="auto"/>
        </w:rPr>
        <w:t>We intend to adopt a non-employee director compensation policy to be in effect following the closing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21" w:name="page122"/>
    <w:bookmarkEnd w:id="12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EXECUTIVE COMPENSATION</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named executive officers, consisting of our principal executive officer and the next two most highly compensated executive officers who were serving as executive officers as of December 31, 2016, are:</w:t>
      </w:r>
    </w:p>
    <w:p>
      <w:pPr>
        <w:spacing w:after="0" w:line="141" w:lineRule="exact"/>
        <w:rPr>
          <w:sz w:val="20"/>
          <w:szCs w:val="20"/>
          <w:color w:val="auto"/>
        </w:rPr>
      </w:pPr>
    </w:p>
    <w:p>
      <w:pPr>
        <w:ind w:left="720" w:hanging="368"/>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Langley Steinert, our founder, Chief Executive Officer, President, and Chairman;</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Jason Trevisan, our Chief Financial Officer and Treasurer;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Samuel Zales, our Chief Operating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Compensation Table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provides information regarding the compensation of our named executive officers during the year ended December 31, 2016.</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Salary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Bonus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color w:val="auto"/>
              </w:rPr>
              <w:t>Total</w:t>
            </w:r>
          </w:p>
        </w:tc>
      </w:tr>
      <w:tr>
        <w:trPr>
          <w:trHeight w:val="133"/>
        </w:trPr>
        <w:tc>
          <w:tcPr>
            <w:tcW w:w="608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and principal position</w:t>
            </w:r>
          </w:p>
        </w:tc>
        <w:tc>
          <w:tcPr>
            <w:tcW w:w="160" w:type="dxa"/>
            <w:vAlign w:val="bottom"/>
          </w:tcPr>
          <w:p>
            <w:pPr>
              <w:spacing w:after="0"/>
              <w:rPr>
                <w:sz w:val="11"/>
                <w:szCs w:val="11"/>
                <w:color w:val="auto"/>
              </w:rPr>
            </w:pPr>
          </w:p>
        </w:tc>
        <w:tc>
          <w:tcPr>
            <w:tcW w:w="34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color w:val="auto"/>
                <w:w w:val="94"/>
              </w:rPr>
              <w:t>Year</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180"/>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33"/>
        </w:trPr>
        <w:tc>
          <w:tcPr>
            <w:tcW w:w="60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Langley Steinert</w:t>
            </w:r>
          </w:p>
        </w:tc>
        <w:tc>
          <w:tcPr>
            <w:tcW w:w="500" w:type="dxa"/>
            <w:vAlign w:val="bottom"/>
            <w:gridSpan w:val="2"/>
            <w:shd w:val="clear" w:color="auto" w:fill="CCEEFF"/>
          </w:tcPr>
          <w:p>
            <w:pPr>
              <w:ind w:left="240"/>
              <w:spacing w:after="0" w:line="133" w:lineRule="exact"/>
              <w:rPr>
                <w:sz w:val="20"/>
                <w:szCs w:val="20"/>
                <w:color w:val="auto"/>
              </w:rPr>
            </w:pPr>
            <w:r>
              <w:rPr>
                <w:rFonts w:ascii="Arial" w:cs="Arial" w:eastAsia="Arial" w:hAnsi="Arial"/>
                <w:sz w:val="12"/>
                <w:szCs w:val="12"/>
                <w:color w:val="auto"/>
                <w:w w:val="89"/>
              </w:rPr>
              <w:t>2016</w:t>
            </w:r>
          </w:p>
        </w:tc>
        <w:tc>
          <w:tcPr>
            <w:tcW w:w="3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w w:val="92"/>
              </w:rPr>
              <w:t>279,675</w:t>
            </w:r>
          </w:p>
        </w:tc>
        <w:tc>
          <w:tcPr>
            <w:tcW w:w="3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0"/>
                <w:szCs w:val="10"/>
                <w:color w:val="auto"/>
              </w:rPr>
              <w:t>250,000</w:t>
            </w:r>
            <w:r>
              <w:rPr>
                <w:rFonts w:ascii="Arial" w:cs="Arial" w:eastAsia="Arial" w:hAnsi="Arial"/>
                <w:sz w:val="15"/>
                <w:szCs w:val="15"/>
                <w:color w:val="auto"/>
                <w:vertAlign w:val="superscript"/>
              </w:rPr>
              <w:t>(1)</w:t>
            </w:r>
          </w:p>
        </w:tc>
        <w:tc>
          <w:tcPr>
            <w:tcW w:w="1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529,675</w:t>
            </w:r>
          </w:p>
        </w:tc>
        <w:tc>
          <w:tcPr>
            <w:tcW w:w="120" w:type="dxa"/>
            <w:vAlign w:val="bottom"/>
            <w:shd w:val="clear" w:color="auto" w:fill="CCEEFF"/>
          </w:tcPr>
          <w:p>
            <w:pPr>
              <w:spacing w:after="0"/>
              <w:rPr>
                <w:sz w:val="11"/>
                <w:szCs w:val="11"/>
                <w:color w:val="auto"/>
              </w:rPr>
            </w:pPr>
          </w:p>
        </w:tc>
      </w:tr>
      <w:tr>
        <w:trPr>
          <w:trHeight w:val="135"/>
        </w:trPr>
        <w:tc>
          <w:tcPr>
            <w:tcW w:w="6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i w:val="1"/>
                <w:iCs w:val="1"/>
                <w:color w:val="auto"/>
              </w:rPr>
              <w:t>Chief Executive Officer, President, and Chairman</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69"/>
        </w:trPr>
        <w:tc>
          <w:tcPr>
            <w:tcW w:w="6080" w:type="dxa"/>
            <w:vAlign w:val="bottom"/>
            <w:gridSpan w:val="2"/>
          </w:tcPr>
          <w:p>
            <w:pPr>
              <w:spacing w:after="0"/>
              <w:rPr>
                <w:sz w:val="20"/>
                <w:szCs w:val="20"/>
                <w:color w:val="auto"/>
              </w:rPr>
            </w:pPr>
            <w:r>
              <w:rPr>
                <w:rFonts w:ascii="Arial" w:cs="Arial" w:eastAsia="Arial" w:hAnsi="Arial"/>
                <w:sz w:val="12"/>
                <w:szCs w:val="12"/>
                <w:color w:val="auto"/>
              </w:rPr>
              <w:t>Jason Trevisan,</w:t>
            </w:r>
          </w:p>
        </w:tc>
        <w:tc>
          <w:tcPr>
            <w:tcW w:w="500" w:type="dxa"/>
            <w:vAlign w:val="bottom"/>
            <w:gridSpan w:val="2"/>
          </w:tcPr>
          <w:p>
            <w:pPr>
              <w:ind w:left="240"/>
              <w:spacing w:after="0"/>
              <w:rPr>
                <w:sz w:val="20"/>
                <w:szCs w:val="20"/>
                <w:color w:val="auto"/>
              </w:rPr>
            </w:pPr>
            <w:r>
              <w:rPr>
                <w:rFonts w:ascii="Arial" w:cs="Arial" w:eastAsia="Arial" w:hAnsi="Arial"/>
                <w:sz w:val="12"/>
                <w:szCs w:val="12"/>
                <w:color w:val="auto"/>
                <w:w w:val="89"/>
              </w:rPr>
              <w:t>2016</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tcPr>
          <w:p>
            <w:pPr>
              <w:ind w:left="100"/>
              <w:spacing w:after="0"/>
              <w:rPr>
                <w:sz w:val="20"/>
                <w:szCs w:val="20"/>
                <w:color w:val="auto"/>
              </w:rPr>
            </w:pPr>
            <w:r>
              <w:rPr>
                <w:rFonts w:ascii="Arial" w:cs="Arial" w:eastAsia="Arial" w:hAnsi="Arial"/>
                <w:sz w:val="12"/>
                <w:szCs w:val="12"/>
                <w:color w:val="auto"/>
                <w:w w:val="92"/>
              </w:rPr>
              <w:t>305,100</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w w:val="91"/>
              </w:rPr>
              <w:t>175,000</w:t>
            </w:r>
            <w:r>
              <w:rPr>
                <w:rFonts w:ascii="Arial" w:cs="Arial" w:eastAsia="Arial" w:hAnsi="Arial"/>
                <w:sz w:val="19"/>
                <w:szCs w:val="19"/>
                <w:color w:val="auto"/>
                <w:w w:val="91"/>
                <w:vertAlign w:val="superscript"/>
              </w:rPr>
              <w:t>(1)</w:t>
            </w:r>
          </w:p>
        </w:tc>
        <w:tc>
          <w:tcPr>
            <w:tcW w:w="1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480,100</w:t>
            </w:r>
          </w:p>
        </w:tc>
        <w:tc>
          <w:tcPr>
            <w:tcW w:w="120" w:type="dxa"/>
            <w:vAlign w:val="bottom"/>
          </w:tcPr>
          <w:p>
            <w:pPr>
              <w:spacing w:after="0"/>
              <w:rPr>
                <w:sz w:val="23"/>
                <w:szCs w:val="23"/>
                <w:color w:val="auto"/>
              </w:rPr>
            </w:pPr>
          </w:p>
        </w:tc>
      </w:tr>
      <w:tr>
        <w:trPr>
          <w:trHeight w:val="145"/>
        </w:trPr>
        <w:tc>
          <w:tcPr>
            <w:tcW w:w="6080" w:type="dxa"/>
            <w:vAlign w:val="bottom"/>
            <w:gridSpan w:val="2"/>
          </w:tcPr>
          <w:p>
            <w:pPr>
              <w:ind w:left="120"/>
              <w:spacing w:after="0"/>
              <w:rPr>
                <w:sz w:val="20"/>
                <w:szCs w:val="20"/>
                <w:color w:val="auto"/>
              </w:rPr>
            </w:pPr>
            <w:r>
              <w:rPr>
                <w:rFonts w:ascii="Arial" w:cs="Arial" w:eastAsia="Arial" w:hAnsi="Arial"/>
                <w:sz w:val="12"/>
                <w:szCs w:val="12"/>
                <w:i w:val="1"/>
                <w:iCs w:val="1"/>
                <w:color w:val="auto"/>
              </w:rPr>
              <w:t>Chief Financial Officer and Treasurer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9"/>
        </w:trPr>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Samuel Zales</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2016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335,610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1"/>
              </w:rPr>
              <w:t>300,000</w:t>
            </w:r>
            <w:r>
              <w:rPr>
                <w:rFonts w:ascii="Arial" w:cs="Arial" w:eastAsia="Arial" w:hAnsi="Arial"/>
                <w:sz w:val="19"/>
                <w:szCs w:val="19"/>
                <w:color w:val="auto"/>
                <w:w w:val="91"/>
                <w:vertAlign w:val="superscript"/>
              </w:rPr>
              <w:t>(1)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635,610</w:t>
            </w:r>
          </w:p>
        </w:tc>
        <w:tc>
          <w:tcPr>
            <w:tcW w:w="120" w:type="dxa"/>
            <w:vAlign w:val="bottom"/>
            <w:shd w:val="clear" w:color="auto" w:fill="CCEEFF"/>
          </w:tcPr>
          <w:p>
            <w:pPr>
              <w:spacing w:after="0"/>
              <w:rPr>
                <w:sz w:val="24"/>
                <w:szCs w:val="24"/>
                <w:color w:val="auto"/>
              </w:rPr>
            </w:pPr>
          </w:p>
        </w:tc>
      </w:tr>
      <w:tr>
        <w:trPr>
          <w:trHeight w:val="135"/>
        </w:trPr>
        <w:tc>
          <w:tcPr>
            <w:tcW w:w="60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i w:val="1"/>
                <w:iCs w:val="1"/>
                <w:color w:val="auto"/>
              </w:rPr>
              <w:t>Chief Operating Officer</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72"/>
        </w:trPr>
        <w:tc>
          <w:tcPr>
            <w:tcW w:w="940" w:type="dxa"/>
            <w:vAlign w:val="bottom"/>
            <w:tcBorders>
              <w:bottom w:val="single" w:sz="8" w:color="auto"/>
            </w:tcBorders>
          </w:tcPr>
          <w:p>
            <w:pPr>
              <w:spacing w:after="0"/>
              <w:rPr>
                <w:sz w:val="6"/>
                <w:szCs w:val="6"/>
                <w:color w:val="auto"/>
              </w:rPr>
            </w:pPr>
          </w:p>
        </w:tc>
        <w:tc>
          <w:tcPr>
            <w:tcW w:w="5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47" w:lineRule="exact"/>
        <w:rPr>
          <w:sz w:val="20"/>
          <w:szCs w:val="20"/>
          <w:color w:val="auto"/>
        </w:rPr>
      </w:pPr>
    </w:p>
    <w:p>
      <w:pPr>
        <w:ind w:left="1500" w:hanging="360"/>
        <w:spacing w:after="0" w:line="203" w:lineRule="auto"/>
        <w:tabs>
          <w:tab w:leader="none" w:pos="1500" w:val="left"/>
        </w:tabs>
        <w:numPr>
          <w:ilvl w:val="0"/>
          <w:numId w:val="66"/>
        </w:numPr>
        <w:rPr>
          <w:rFonts w:ascii="Arial" w:cs="Arial" w:eastAsia="Arial" w:hAnsi="Arial"/>
          <w:sz w:val="14"/>
          <w:szCs w:val="14"/>
          <w:color w:val="auto"/>
          <w:vertAlign w:val="superscript"/>
        </w:rPr>
      </w:pPr>
      <w:r>
        <w:rPr>
          <w:rFonts w:ascii="Arial" w:cs="Arial" w:eastAsia="Arial" w:hAnsi="Arial"/>
          <w:sz w:val="10"/>
          <w:szCs w:val="10"/>
          <w:color w:val="auto"/>
        </w:rPr>
        <w:t>Represents a discretionary bonus award earned as a result of our performance in the 2016 fiscal year paid in 2017. The discretionary bonus award was made in the sole discretion of our board of directors, taking into account individual and company performance. Such bonus awards were not paid pursuant to a plan providing for compensation intended to serve as incentive for performance, and such amounts were not determined based upon outcomes with respect to any specified performance targets.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Equity Awards at Fiscal Year-End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certain information concerning outstanding equity awards held by our named executive officers as of December 31, 2016.</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jc w:val="right"/>
              <w:ind w:right="401"/>
              <w:spacing w:after="0"/>
              <w:rPr>
                <w:sz w:val="20"/>
                <w:szCs w:val="20"/>
                <w:color w:val="auto"/>
              </w:rPr>
            </w:pPr>
            <w:r>
              <w:rPr>
                <w:rFonts w:ascii="Arial" w:cs="Arial" w:eastAsia="Arial" w:hAnsi="Arial"/>
                <w:sz w:val="12"/>
                <w:szCs w:val="12"/>
                <w:color w:val="auto"/>
              </w:rPr>
              <w:t>Option awards</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color w:val="auto"/>
              </w:rPr>
              <w:t>Stock awards</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jc w:val="center"/>
              <w:ind w:left="1"/>
              <w:spacing w:after="0" w:line="136" w:lineRule="exact"/>
              <w:rPr>
                <w:sz w:val="20"/>
                <w:szCs w:val="20"/>
                <w:color w:val="auto"/>
              </w:rPr>
            </w:pPr>
            <w:r>
              <w:rPr>
                <w:rFonts w:ascii="Arial" w:cs="Arial" w:eastAsia="Arial" w:hAnsi="Arial"/>
                <w:sz w:val="12"/>
                <w:szCs w:val="12"/>
                <w:color w:val="auto"/>
                <w:w w:val="96"/>
              </w:rPr>
              <w:t>Number of</w:t>
            </w: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Arial" w:cs="Arial" w:eastAsia="Arial" w:hAnsi="Arial"/>
                <w:sz w:val="12"/>
                <w:szCs w:val="12"/>
                <w:color w:val="auto"/>
                <w:w w:val="96"/>
              </w:rPr>
              <w:t>Number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99"/>
              </w:rPr>
              <w:t>Number of</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2"/>
                <w:szCs w:val="12"/>
                <w:color w:val="auto"/>
                <w:w w:val="97"/>
              </w:rPr>
              <w:t>Market value of</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jc w:val="center"/>
              <w:ind w:left="1"/>
              <w:spacing w:after="0" w:line="108" w:lineRule="exact"/>
              <w:rPr>
                <w:sz w:val="20"/>
                <w:szCs w:val="20"/>
                <w:color w:val="auto"/>
              </w:rPr>
            </w:pPr>
            <w:r>
              <w:rPr>
                <w:rFonts w:ascii="Arial" w:cs="Arial" w:eastAsia="Arial" w:hAnsi="Arial"/>
                <w:sz w:val="12"/>
                <w:szCs w:val="12"/>
                <w:color w:val="auto"/>
                <w:w w:val="98"/>
              </w:rPr>
              <w:t>securities</w:t>
            </w:r>
          </w:p>
        </w:tc>
        <w:tc>
          <w:tcPr>
            <w:tcW w:w="120" w:type="dxa"/>
            <w:vAlign w:val="bottom"/>
          </w:tcPr>
          <w:p>
            <w:pPr>
              <w:spacing w:after="0"/>
              <w:rPr>
                <w:sz w:val="9"/>
                <w:szCs w:val="9"/>
                <w:color w:val="auto"/>
              </w:rPr>
            </w:pPr>
          </w:p>
        </w:tc>
        <w:tc>
          <w:tcPr>
            <w:tcW w:w="960" w:type="dxa"/>
            <w:vAlign w:val="bottom"/>
            <w:gridSpan w:val="2"/>
          </w:tcPr>
          <w:p>
            <w:pPr>
              <w:jc w:val="center"/>
              <w:ind w:right="140"/>
              <w:spacing w:after="0" w:line="108" w:lineRule="exact"/>
              <w:rPr>
                <w:sz w:val="20"/>
                <w:szCs w:val="20"/>
                <w:color w:val="auto"/>
              </w:rPr>
            </w:pPr>
            <w:r>
              <w:rPr>
                <w:rFonts w:ascii="Arial" w:cs="Arial" w:eastAsia="Arial" w:hAnsi="Arial"/>
                <w:sz w:val="12"/>
                <w:szCs w:val="12"/>
                <w:color w:val="auto"/>
                <w:w w:val="98"/>
              </w:rPr>
              <w:t>securities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2"/>
                <w:szCs w:val="12"/>
                <w:color w:val="auto"/>
                <w:w w:val="96"/>
              </w:rPr>
              <w:t>Option</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100"/>
              <w:spacing w:after="0" w:line="108" w:lineRule="exact"/>
              <w:rPr>
                <w:sz w:val="20"/>
                <w:szCs w:val="20"/>
                <w:color w:val="auto"/>
              </w:rPr>
            </w:pPr>
            <w:r>
              <w:rPr>
                <w:rFonts w:ascii="Arial" w:cs="Arial" w:eastAsia="Arial" w:hAnsi="Arial"/>
                <w:sz w:val="12"/>
                <w:szCs w:val="12"/>
                <w:color w:val="auto"/>
                <w:w w:val="96"/>
              </w:rPr>
              <w:t>shares or units</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jc w:val="center"/>
              <w:ind w:left="1"/>
              <w:spacing w:after="0" w:line="135" w:lineRule="exact"/>
              <w:rPr>
                <w:sz w:val="20"/>
                <w:szCs w:val="20"/>
                <w:color w:val="auto"/>
              </w:rPr>
            </w:pPr>
            <w:r>
              <w:rPr>
                <w:rFonts w:ascii="Arial" w:cs="Arial" w:eastAsia="Arial" w:hAnsi="Arial"/>
                <w:sz w:val="12"/>
                <w:szCs w:val="12"/>
                <w:color w:val="auto"/>
                <w:w w:val="97"/>
              </w:rPr>
              <w:t>underlying</w:t>
            </w: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7"/>
              </w:rPr>
              <w:t>underlying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color w:val="auto"/>
                <w:w w:val="93"/>
              </w:rPr>
              <w:t>exercise</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8"/>
              </w:rPr>
              <w:t>of stock that</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tcPr>
          <w:p>
            <w:pPr>
              <w:jc w:val="center"/>
              <w:ind w:right="380"/>
              <w:spacing w:after="0" w:line="135" w:lineRule="exact"/>
              <w:rPr>
                <w:sz w:val="20"/>
                <w:szCs w:val="20"/>
                <w:color w:val="auto"/>
              </w:rPr>
            </w:pPr>
            <w:r>
              <w:rPr>
                <w:rFonts w:ascii="Arial" w:cs="Arial" w:eastAsia="Arial" w:hAnsi="Arial"/>
                <w:sz w:val="12"/>
                <w:szCs w:val="12"/>
                <w:color w:val="auto"/>
                <w:w w:val="96"/>
              </w:rPr>
              <w:t>shares or units</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jc w:val="center"/>
              <w:ind w:left="1"/>
              <w:spacing w:after="0" w:line="135" w:lineRule="exact"/>
              <w:rPr>
                <w:sz w:val="20"/>
                <w:szCs w:val="20"/>
                <w:color w:val="auto"/>
              </w:rPr>
            </w:pPr>
            <w:r>
              <w:rPr>
                <w:rFonts w:ascii="Arial" w:cs="Arial" w:eastAsia="Arial" w:hAnsi="Arial"/>
                <w:sz w:val="12"/>
                <w:szCs w:val="12"/>
                <w:color w:val="auto"/>
                <w:w w:val="95"/>
              </w:rPr>
              <w:t>unexercised</w:t>
            </w: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5"/>
              </w:rPr>
              <w:t>unexercised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color w:val="auto"/>
                <w:w w:val="98"/>
              </w:rPr>
              <w:t>price per</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6"/>
              </w:rPr>
              <w:t>Option</w:t>
            </w: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5"/>
              </w:rPr>
              <w:t>have not</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tcPr>
          <w:p>
            <w:pPr>
              <w:jc w:val="center"/>
              <w:ind w:right="380"/>
              <w:spacing w:after="0" w:line="135" w:lineRule="exact"/>
              <w:rPr>
                <w:sz w:val="20"/>
                <w:szCs w:val="20"/>
                <w:color w:val="auto"/>
              </w:rPr>
            </w:pPr>
            <w:r>
              <w:rPr>
                <w:rFonts w:ascii="Arial" w:cs="Arial" w:eastAsia="Arial" w:hAnsi="Arial"/>
                <w:sz w:val="12"/>
                <w:szCs w:val="12"/>
                <w:color w:val="auto"/>
                <w:w w:val="97"/>
              </w:rPr>
              <w:t>that have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2"/>
                <w:szCs w:val="12"/>
                <w:color w:val="auto"/>
                <w:w w:val="98"/>
              </w:rPr>
              <w:t>options (#)</w:t>
            </w: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8"/>
              </w:rPr>
              <w:t>options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color w:val="auto"/>
                <w:w w:val="99"/>
              </w:rPr>
              <w:t>share</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6"/>
              </w:rPr>
              <w:t>expiration</w:t>
            </w: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rPr>
              <w:t>vested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tcPr>
          <w:p>
            <w:pPr>
              <w:jc w:val="center"/>
              <w:ind w:right="400"/>
              <w:spacing w:after="0" w:line="135" w:lineRule="exact"/>
              <w:rPr>
                <w:sz w:val="20"/>
                <w:szCs w:val="20"/>
                <w:color w:val="auto"/>
              </w:rPr>
            </w:pPr>
            <w:r>
              <w:rPr>
                <w:rFonts w:ascii="Arial" w:cs="Arial" w:eastAsia="Arial" w:hAnsi="Arial"/>
                <w:sz w:val="12"/>
                <w:szCs w:val="12"/>
                <w:color w:val="auto"/>
                <w:w w:val="97"/>
              </w:rPr>
              <w:t>not vested</w:t>
            </w: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exercisable</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center"/>
              <w:ind w:left="1"/>
              <w:spacing w:after="0"/>
              <w:rPr>
                <w:sz w:val="20"/>
                <w:szCs w:val="20"/>
                <w:color w:val="auto"/>
              </w:rPr>
            </w:pPr>
            <w:r>
              <w:rPr>
                <w:rFonts w:ascii="Arial" w:cs="Arial" w:eastAsia="Arial" w:hAnsi="Arial"/>
                <w:sz w:val="12"/>
                <w:szCs w:val="12"/>
                <w:color w:val="auto"/>
                <w:w w:val="97"/>
              </w:rPr>
              <w:t>unexercisable</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date</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center"/>
              <w:ind w:left="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44"/>
              <w:spacing w:after="0" w:line="160"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8"/>
                <w:szCs w:val="8"/>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Langley Steinert</w:t>
            </w:r>
          </w:p>
        </w:tc>
        <w:tc>
          <w:tcPr>
            <w:tcW w:w="12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640" w:type="dxa"/>
            <w:vAlign w:val="bottom"/>
            <w:gridSpan w:val="2"/>
          </w:tcPr>
          <w:p>
            <w:pPr>
              <w:spacing w:after="0" w:line="135" w:lineRule="exact"/>
              <w:rPr>
                <w:sz w:val="20"/>
                <w:szCs w:val="20"/>
                <w:color w:val="auto"/>
              </w:rPr>
            </w:pPr>
            <w:r>
              <w:rPr>
                <w:rFonts w:ascii="Arial" w:cs="Arial" w:eastAsia="Arial" w:hAnsi="Arial"/>
                <w:sz w:val="12"/>
                <w:szCs w:val="12"/>
                <w:color w:val="auto"/>
              </w:rPr>
              <w:t>Jason Trevisan</w:t>
            </w:r>
          </w:p>
        </w:tc>
        <w:tc>
          <w:tcPr>
            <w:tcW w:w="1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720" w:type="dxa"/>
            <w:vAlign w:val="bottom"/>
            <w:gridSpan w:val="3"/>
          </w:tcPr>
          <w:p>
            <w:pPr>
              <w:jc w:val="right"/>
              <w:ind w:right="40"/>
              <w:spacing w:after="0" w:line="135" w:lineRule="exact"/>
              <w:rPr>
                <w:sz w:val="20"/>
                <w:szCs w:val="20"/>
                <w:color w:val="auto"/>
              </w:rPr>
            </w:pPr>
            <w:r>
              <w:rPr>
                <w:rFonts w:ascii="Arial" w:cs="Arial" w:eastAsia="Arial" w:hAnsi="Arial"/>
                <w:sz w:val="10"/>
                <w:szCs w:val="10"/>
                <w:color w:val="auto"/>
              </w:rPr>
              <w:t>545,286</w:t>
            </w:r>
            <w:r>
              <w:rPr>
                <w:rFonts w:ascii="Arial" w:cs="Arial" w:eastAsia="Arial" w:hAnsi="Arial"/>
                <w:sz w:val="15"/>
                <w:szCs w:val="15"/>
                <w:color w:val="auto"/>
                <w:vertAlign w:val="superscript"/>
              </w:rPr>
              <w:t>(2)</w:t>
            </w:r>
          </w:p>
        </w:tc>
        <w:tc>
          <w:tcPr>
            <w:tcW w:w="4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1200" w:type="dxa"/>
            <w:vAlign w:val="bottom"/>
          </w:tcPr>
          <w:p>
            <w:pPr>
              <w:jc w:val="right"/>
              <w:spacing w:after="0" w:line="135" w:lineRule="exact"/>
              <w:rPr>
                <w:sz w:val="20"/>
                <w:szCs w:val="20"/>
                <w:color w:val="auto"/>
              </w:rPr>
            </w:pPr>
            <w:r>
              <w:rPr>
                <w:rFonts w:ascii="Arial" w:cs="Arial" w:eastAsia="Arial" w:hAnsi="Arial"/>
                <w:sz w:val="12"/>
                <w:szCs w:val="12"/>
                <w:color w:val="auto"/>
              </w:rPr>
              <w:t>8,724,576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Samuel Zales</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375,750</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0"/>
                <w:szCs w:val="10"/>
                <w:color w:val="auto"/>
              </w:rPr>
              <w:t>397,596</w:t>
            </w:r>
            <w:r>
              <w:rPr>
                <w:rFonts w:ascii="Arial" w:cs="Arial" w:eastAsia="Arial" w:hAnsi="Arial"/>
                <w:sz w:val="15"/>
                <w:szCs w:val="15"/>
                <w:color w:val="auto"/>
                <w:vertAlign w:val="superscript"/>
              </w:rPr>
              <w:t>(3)</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0.16</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12/10/2024</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640" w:type="dxa"/>
            <w:vAlign w:val="bottom"/>
            <w:tcBorders>
              <w:bottom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500" w:hanging="360"/>
        <w:spacing w:after="0"/>
        <w:tabs>
          <w:tab w:leader="none" w:pos="1500" w:val="left"/>
        </w:tabs>
        <w:numPr>
          <w:ilvl w:val="0"/>
          <w:numId w:val="67"/>
        </w:numPr>
        <w:rPr>
          <w:rFonts w:ascii="Arial" w:cs="Arial" w:eastAsia="Arial" w:hAnsi="Arial"/>
          <w:sz w:val="14"/>
          <w:szCs w:val="14"/>
          <w:color w:val="auto"/>
          <w:vertAlign w:val="superscript"/>
        </w:rPr>
      </w:pPr>
      <w:r>
        <w:rPr>
          <w:rFonts w:ascii="Arial" w:cs="Arial" w:eastAsia="Arial" w:hAnsi="Arial"/>
          <w:sz w:val="10"/>
          <w:szCs w:val="10"/>
          <w:color w:val="auto"/>
        </w:rPr>
        <w:t>The market price for our Class A common stock is based on the initial public offering price of $16.00 per share.</w:t>
      </w:r>
    </w:p>
    <w:p>
      <w:pPr>
        <w:spacing w:after="0" w:line="101" w:lineRule="exact"/>
        <w:rPr>
          <w:rFonts w:ascii="Arial" w:cs="Arial" w:eastAsia="Arial" w:hAnsi="Arial"/>
          <w:sz w:val="14"/>
          <w:szCs w:val="14"/>
          <w:color w:val="auto"/>
          <w:vertAlign w:val="superscript"/>
        </w:rPr>
      </w:pPr>
    </w:p>
    <w:p>
      <w:pPr>
        <w:ind w:left="1500" w:right="20" w:hanging="360"/>
        <w:spacing w:after="0" w:line="208" w:lineRule="auto"/>
        <w:tabs>
          <w:tab w:leader="none" w:pos="1500" w:val="left"/>
        </w:tabs>
        <w:numPr>
          <w:ilvl w:val="0"/>
          <w:numId w:val="67"/>
        </w:numPr>
        <w:rPr>
          <w:rFonts w:ascii="Arial" w:cs="Arial" w:eastAsia="Arial" w:hAnsi="Arial"/>
          <w:sz w:val="14"/>
          <w:szCs w:val="14"/>
          <w:color w:val="auto"/>
          <w:vertAlign w:val="superscript"/>
        </w:rPr>
      </w:pPr>
      <w:r>
        <w:rPr>
          <w:rFonts w:ascii="Arial" w:cs="Arial" w:eastAsia="Arial" w:hAnsi="Arial"/>
          <w:sz w:val="10"/>
          <w:szCs w:val="10"/>
          <w:color w:val="auto"/>
        </w:rPr>
        <w:t>In October 2016, we repurchased 2,900 shares of Class A common stock and 5,800 shares of Class B common stock underlying Mr. Trevisan's time-vested restricted stock units, or RSUs. Accordingly, these RSUs represent 181,762 shares of Class A common stock and 363,524 shares of Class B common stock granted under our 2015 Equity Incentive Plan, or the 2015 Plan, and vest and settle on the satisfaction of both (i) a service-based vesting condition and (ii) a liquidity event-based condition. Subject to Mr. Trevisan's continued employment, the service-based vesting requirements are satisfied as follows: 25% of the RSUs vested on August 31, 2016 and 6.25% of the RSUs vest on the last day of each three month period thereafter until August 31, 2019. As of December 31, 2016, the service-based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22" w:name="page123"/>
    <w:bookmarkEnd w:id="12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2" w:lineRule="exact"/>
        <w:rPr>
          <w:sz w:val="20"/>
          <w:szCs w:val="20"/>
          <w:color w:val="auto"/>
        </w:rPr>
      </w:pPr>
    </w:p>
    <w:p>
      <w:pPr>
        <w:ind w:left="1500" w:right="160"/>
        <w:spacing w:after="0" w:line="230" w:lineRule="auto"/>
        <w:rPr>
          <w:sz w:val="20"/>
          <w:szCs w:val="20"/>
          <w:color w:val="auto"/>
        </w:rPr>
      </w:pPr>
      <w:r>
        <w:rPr>
          <w:rFonts w:ascii="Arial" w:cs="Arial" w:eastAsia="Arial" w:hAnsi="Arial"/>
          <w:sz w:val="10"/>
          <w:szCs w:val="10"/>
          <w:color w:val="auto"/>
        </w:rPr>
        <w:t>condition was satisfied for 54,804 shares of Class A common stock and 109,608 shares of Class B common stock underlying the RSUs. If a transaction (as defined in our 2015 Plan) occurs before August 31, 2019, any portion of the RSUs that are not vested as to the service-based requirements will accelerate and become fully vested. The liquidity event-based vesting requirements will be satisfied on the first to occur of (a) the effective date of the registration statement in connection with this offering, or (b) a transaction (as defined in our 2015 Plan).</w:t>
      </w:r>
    </w:p>
    <w:p>
      <w:pPr>
        <w:spacing w:after="0" w:line="138" w:lineRule="exact"/>
        <w:rPr>
          <w:sz w:val="20"/>
          <w:szCs w:val="20"/>
          <w:color w:val="auto"/>
        </w:rPr>
      </w:pPr>
    </w:p>
    <w:p>
      <w:pPr>
        <w:ind w:left="1500" w:hanging="360"/>
        <w:spacing w:after="0" w:line="235" w:lineRule="auto"/>
        <w:tabs>
          <w:tab w:leader="none" w:pos="1500" w:val="left"/>
        </w:tabs>
        <w:numPr>
          <w:ilvl w:val="0"/>
          <w:numId w:val="68"/>
        </w:numPr>
        <w:rPr>
          <w:rFonts w:ascii="Arial" w:cs="Arial" w:eastAsia="Arial" w:hAnsi="Arial"/>
          <w:sz w:val="13"/>
          <w:szCs w:val="13"/>
          <w:color w:val="auto"/>
          <w:vertAlign w:val="superscript"/>
        </w:rPr>
      </w:pPr>
      <w:r>
        <w:rPr>
          <w:rFonts w:ascii="Arial" w:cs="Arial" w:eastAsia="Arial" w:hAnsi="Arial"/>
          <w:sz w:val="9"/>
          <w:szCs w:val="9"/>
          <w:color w:val="auto"/>
        </w:rPr>
        <w:t>Represents an option to purchase Class A common stock and Class B common stock granted under our 2006 Plan. In October 2016, the Company repurchased 7,284 shares of Class A common stock and 14,568 shares of Class B common stock underlying such option. Therefore, as of December 31, 2016, 125,250 shares of Class A common stock and 250,500 shares of Class B common stock were vested and exercisable, and 16,566 shares of Class A common stock and 33,132 shares of Class B common stock subject to the option vested and became exercisable or will vest and become exercisable on each of February 3, 2017, August 3, 2017, November 3, 2017, May 3, 2018, August 3, 2018, and November 3, 2018 and 16,568 shares of Class A common stock and 33,136 of Class B common stock subject to the option vested and became exercisable or will vest and become exercisable on each of May 3, 2017 and February 3, 2018. The unvested shares subject to this option are subject to accelerated vesting as described elsewhere in this prospectus. The option award was granted with a per share exercise price greater than the fair market value of one share of our Class B common stock on the date of grant, as determined in good faith by our board of directors with the assistance of a third party valuation analysis.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Employment Arrangements</w:t>
      </w:r>
    </w:p>
    <w:p>
      <w:pPr>
        <w:spacing w:after="0" w:line="155" w:lineRule="exact"/>
        <w:rPr>
          <w:sz w:val="20"/>
          <w:szCs w:val="20"/>
          <w:color w:val="auto"/>
        </w:rPr>
      </w:pPr>
    </w:p>
    <w:p>
      <w:pPr>
        <w:ind w:right="260" w:firstLine="326"/>
        <w:spacing w:after="0" w:line="239" w:lineRule="auto"/>
        <w:rPr>
          <w:sz w:val="20"/>
          <w:szCs w:val="20"/>
          <w:color w:val="auto"/>
        </w:rPr>
      </w:pPr>
      <w:r>
        <w:rPr>
          <w:rFonts w:ascii="Arial" w:cs="Arial" w:eastAsia="Arial" w:hAnsi="Arial"/>
          <w:sz w:val="12"/>
          <w:szCs w:val="12"/>
          <w:color w:val="auto"/>
        </w:rPr>
        <w:t>We have entered into employment letters with each of Messrs. Steinert, Trevisan, and Zales. These agreements provide for at-will employment and generally include the named executive officer's base salary, an indication of eligibility for an annual performance-based bonus opportunity, equity awards, and certain severance and change of control benefits. These employment arrangements are described below.</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Langley Steinert</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offer letter with Mr. Steinert, effective March 17, 2006, memorializes the terms of Mr. Steinert's position as our Chief Executive Officer. The terms provide that Mr. Steinert is entitled to a base salary, which may be adjusted on an annual basis, and participation in our benefit programs. In connection with his commencement of employment, Mr. Steinert entered into a non-disclosure, development and non-competition agreement, which provides that at all times during Mr. Steinert's employment and thereafter, Mr. Steinert will maintain the confidentiality of all confidential information obtained by him as a result of his employment and assign all inventions to us. In addition, during the term of Mr. Steinert's employment, and for the one-year period (subject to certain extensions in the event of a breach) after Mr. Steinert's termination of employment, Mr. Steinert cannot (i) compete against our company, (ii) interfere or do business with any customers or affiliates of our company, or (iii) solicit in any way the existing or future employees of our company or any others who provide services to our company.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Jason Trevisan</w:t>
      </w:r>
    </w:p>
    <w:p>
      <w:pPr>
        <w:spacing w:after="0" w:line="155"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offer letter with Mr. Trevisan, dated August 10, 2015, provides for an initial annual base salary of $300,000, which may be adjusted on an annual basis, consistent with salary review procedures for other company employees. In connection with the commencement of his employment, Mr. Trevisan received a $50,000 sign-on bonus, which was subject to repayment if Mr. Trevisan's employment terminated within 12 months following Mr. Trevisan's start date. Mr. Trevisan is eligible to receive a discretionary annual bonus. The annual bonus target is 33% of his annual base salary, but the actual amount awarded each year, if any, is subject to company and individual performance.</w:t>
      </w:r>
    </w:p>
    <w:p>
      <w:pPr>
        <w:spacing w:after="0" w:line="139"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In connection with the commencement of his employment, Mr. Trevisan was awarded 553,986 RSUs under our Amended and Restated 2015 Equity Incentive Plan, or the 2015 Plan, which can be settled for 184,662 shares of Class A common stock and 369,324 shares of Class B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subject to service-based vesting and liquidity event-based vesting, both the service-based vesting and liquidity event-based vesting conditions must be satisfied prior to the seventh anniversary of the date of grant in order for the RSUs to fully vest. With respect to the service-based vesting condition, 25% of the units vested on August 31, 2016, and an additional 6.25% vest every three months thereafter until August 31, 2019, subject to Mr. Trevisan's continued employment on the applicable vesting dates. The liquidity-event based vesting condition will be satisfied upon the first to occur of an initial public offering or a transaction (as defined in our 2015 Plan). In addition, if a transaction (as defined in our 2015 Plan) occurs prior to August 31, 2019, any portion of the award that is not vested will accelerate and become fully vested, provided that Mr. Trevisan is still employed with us on such date. In October 2016, we repurchased time-vested RSUs which could be settled for 2,900 shares of Class A common stock and 5,800 shares of Class B common stock from Mr. Trevisan.</w:t>
      </w:r>
    </w:p>
    <w:p>
      <w:pPr>
        <w:spacing w:after="0" w:line="129"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Mr. Trevisan in entitled to participate in all employee benefits made available to other company employees, including but not limited to health insurance, paid time off (including three weeks of paid vacation), and reimbursement for business expenses in accordance with our expense reimbursement policy.</w:t>
      </w:r>
    </w:p>
    <w:p>
      <w:pPr>
        <w:spacing w:after="0" w:line="139" w:lineRule="exact"/>
        <w:rPr>
          <w:sz w:val="20"/>
          <w:szCs w:val="20"/>
          <w:color w:val="auto"/>
        </w:rPr>
      </w:pPr>
    </w:p>
    <w:p>
      <w:pPr>
        <w:ind w:firstLine="326"/>
        <w:spacing w:after="0" w:line="281" w:lineRule="auto"/>
        <w:rPr>
          <w:sz w:val="20"/>
          <w:szCs w:val="20"/>
          <w:color w:val="auto"/>
        </w:rPr>
      </w:pPr>
      <w:r>
        <w:rPr>
          <w:rFonts w:ascii="Arial" w:cs="Arial" w:eastAsia="Arial" w:hAnsi="Arial"/>
          <w:sz w:val="11"/>
          <w:szCs w:val="11"/>
          <w:color w:val="auto"/>
        </w:rPr>
        <w:t>If we terminate his employment for cause, we will pay Mr. Trevisan his accrued compensation and benefits through the date of termination and he will forfeit the vested and unvested RSUs. If Mr. Trevisan terminates his employment for any reason, we will pay him his accrued compensation and benefits through the date of termination and he will retain any portion of his RSUs that have vested due to the service-based vesting condition.</w:t>
      </w:r>
    </w:p>
    <w:p>
      <w:pPr>
        <w:spacing w:after="0" w:line="118"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If we terminate Mr. Trevisan's employment without cause, or Mr. Trevisan terminates his employment for good reason, he will receive accrued compensation through the date of termination and, provided he executes and does not revoke a release of claims, Mr. Trevisan will be entitled to (i) a severance payment of $100,000, which will be paid in a lump sum within 60 days following his termination of employment and (ii) any portion of the RSUs that would have vested as to the service-based vesting condition over the 12-month period following his termination, had he remained employed during that period, will vest as of his termination of employment and will remain subject to the liquidity-event based vesting condition.</w:t>
      </w:r>
    </w:p>
    <w:p>
      <w:pPr>
        <w:spacing w:after="0" w:line="139" w:lineRule="exact"/>
        <w:rPr>
          <w:sz w:val="20"/>
          <w:szCs w:val="20"/>
          <w:color w:val="auto"/>
        </w:rPr>
      </w:pPr>
    </w:p>
    <w:p>
      <w:pPr>
        <w:ind w:right="120" w:firstLine="326"/>
        <w:spacing w:after="0" w:line="235" w:lineRule="auto"/>
        <w:rPr>
          <w:sz w:val="20"/>
          <w:szCs w:val="20"/>
          <w:color w:val="auto"/>
        </w:rPr>
      </w:pPr>
      <w:r>
        <w:rPr>
          <w:rFonts w:ascii="Arial" w:cs="Arial" w:eastAsia="Arial" w:hAnsi="Arial"/>
          <w:sz w:val="12"/>
          <w:szCs w:val="12"/>
          <w:color w:val="auto"/>
        </w:rPr>
        <w:t>Pursuant to the terms of the offer letter, (1) "cause" is generally defined as a finding by our board of directors that Mr. Trevisan has: (i) materially breached the offer letter, which breach has not been remedied within 30 days following written notice to him; (ii) engaged in disloyalty to our company, including, without limitation, fraud, embezzlement, theft, commission of a felony, or proven dishonesty; (iii) disclosed trade secrets or confidential information of our company to persons not entitled to receive such information; (iv) breached the nondisclosure, developments, and non-competition agreement that he entered into in connection with the commencement of his employment; or (v) engaged in such other behavior detrimental to the interests of our company as our board of directors reasonably determines and (2) "good reason" is generally defined as the occurrence of any of the following events, without Mr. Trevisan's consent: (i) a material diminution in his title, responsibilities, authority, or duties; (ii) a material diminution of his base salary or target annual discretionary bonus, except for across-the-board reductions based on our company's financial performance similarly affecting all or substantially all senior management employees; (iii) a material change in the principal geographic location at which he provides services to our company (with the exception of travel related to his duties); or (iv) our company's material breach of the offer letter; provided that Mr. Trevisan notifies us within 30 days of the occurrence of the condition constituting good reason, he cooperates with us to cure the condition for a period of not less than 30 days following the notice, and, if we fail to cure the condition following our cure period, he terminates his employment within 30 days following the end of the cure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60" w:firstLine="323"/>
        <w:spacing w:after="0" w:line="237" w:lineRule="auto"/>
        <w:rPr>
          <w:sz w:val="20"/>
          <w:szCs w:val="20"/>
          <w:color w:val="auto"/>
        </w:rPr>
      </w:pPr>
      <w:r>
        <w:rPr>
          <w:rFonts w:ascii="Arial" w:cs="Arial" w:eastAsia="Arial" w:hAnsi="Arial"/>
          <w:sz w:val="12"/>
          <w:szCs w:val="12"/>
          <w:color w:val="auto"/>
        </w:rPr>
        <w:t>The offer letter requires that Mr. Trevisan sign and comply with our nondisclosure, developments, and non-competition agreement, which provides that at all times during Mr. Trevisan's employment and thereafter, Mr. Trevisan will maintain the confidentiality of all confidential information obtained by him as a result of his employment and assign all inventions to us. In addition, during the term of Mr. Trevisan's employment, and for the one-year period (subject to certain extensions in the event of a breach) after Mr. Trevisan's termination of employment, Mr. Trevisan cannot (i) compete against our company, (ii) interfere or do business with any customers or affiliates of our company, or (iii) solicit in any way the existing or future employees of our company or any others who provide services to our company.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Samuel Zales</w:t>
      </w:r>
    </w:p>
    <w:p>
      <w:pPr>
        <w:spacing w:after="0" w:line="155" w:lineRule="exact"/>
        <w:rPr>
          <w:sz w:val="20"/>
          <w:szCs w:val="20"/>
          <w:color w:val="auto"/>
        </w:rPr>
      </w:pPr>
    </w:p>
    <w:p>
      <w:pPr>
        <w:ind w:right="120" w:firstLine="323"/>
        <w:spacing w:after="0" w:line="269" w:lineRule="auto"/>
        <w:rPr>
          <w:sz w:val="20"/>
          <w:szCs w:val="20"/>
          <w:color w:val="auto"/>
        </w:rPr>
      </w:pPr>
      <w:r>
        <w:rPr>
          <w:rFonts w:ascii="Arial" w:cs="Arial" w:eastAsia="Arial" w:hAnsi="Arial"/>
          <w:sz w:val="11"/>
          <w:szCs w:val="11"/>
          <w:color w:val="auto"/>
        </w:rPr>
        <w:t>The offer letter with Mr. Zales, dated October 24, 2014, provides for an initial annual base salary of $300,000, which may be adjusted on an annual basis, consistent with salary review procedures for other company employees. Upon execution of the offer letter, Mr. Zales received a $50,000 sign-on bonus, which was subject to repayment upon a voluntary termination within 12 months following Mr. Zales' start date. As long as we remain profitable, Mr. Zales is eligible to receive a discretionary annual bonus. The annual bonus target is $100,000, but the actual amount awarded each year, if any, is subject to company and individual performance.</w:t>
      </w:r>
    </w:p>
    <w:p>
      <w:pPr>
        <w:spacing w:after="0" w:line="124"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In connection with the commencement of his employment, Mr. Zales was awarded an option to purchase 265,066 shares of Class A common stock and 530,132 shares of Class B common stock, pursuant to the terms of the 2006 Equity Incentive Plan, or the 2006 Plan. The shares of common stock underlying the option vest over four years as follows: 25% vested on November 3, 2015, and an additional 6.25% will vest at the end of each three month period thereafter until November 3, 2018, provided that Mr. Zales remains employed on the applicable vesting dates and complies with the terms of the 2006 Plan. If our company is sold or there is a change in control, other than transfers to employees, public offerings, or additional equity financings, any shares of common stock underlying the option that are not vested and exercisable will become vested and exercisable in connection with such sale or change of control. In October 2016, we repurchased 7,284 shares of Class A common stock and 14,568 shares of Class B common stock underlying the option, which were vested but unexercised, from Mr. Zales.</w:t>
      </w:r>
    </w:p>
    <w:p>
      <w:pPr>
        <w:spacing w:after="0" w:line="141" w:lineRule="exact"/>
        <w:rPr>
          <w:sz w:val="20"/>
          <w:szCs w:val="20"/>
          <w:color w:val="auto"/>
        </w:rPr>
      </w:pPr>
    </w:p>
    <w:p>
      <w:pPr>
        <w:ind w:right="380" w:firstLine="326"/>
        <w:spacing w:after="0" w:line="239" w:lineRule="auto"/>
        <w:rPr>
          <w:sz w:val="20"/>
          <w:szCs w:val="20"/>
          <w:color w:val="auto"/>
        </w:rPr>
      </w:pPr>
      <w:r>
        <w:rPr>
          <w:rFonts w:ascii="Arial" w:cs="Arial" w:eastAsia="Arial" w:hAnsi="Arial"/>
          <w:sz w:val="12"/>
          <w:szCs w:val="12"/>
          <w:color w:val="auto"/>
        </w:rPr>
        <w:t>Mr. Zales in entitled to participate in all employee benefits made available to other company employees, including, but not limited to, health insurance, paid time off (including three weeks of paid vacation), and reimbursement for business expenses in accordance with our expense reimbursement policy.</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If we terminate Mr. Zales' employment without cause, he will receive accrued compensation through the date of termination and, provided he executes and does not revoke a release of claims, Mr. Zales is entitled to a severance payment of $100,000, which will be paid in a lump sum on Mr. Zales' last day of employment with us. If Mr. Zales is terminated for any reason, Mr. Zales will forfeit any portion of the shares underlying his option that have not yet vested as of his termination of employment, and he will have 90 days to exercise the vested portion of the option.</w:t>
      </w:r>
    </w:p>
    <w:p>
      <w:pPr>
        <w:spacing w:after="0" w:line="141" w:lineRule="exact"/>
        <w:rPr>
          <w:sz w:val="20"/>
          <w:szCs w:val="20"/>
          <w:color w:val="auto"/>
        </w:rPr>
      </w:pPr>
    </w:p>
    <w:p>
      <w:pPr>
        <w:ind w:right="80" w:firstLine="323"/>
        <w:spacing w:after="0" w:line="237" w:lineRule="auto"/>
        <w:rPr>
          <w:sz w:val="20"/>
          <w:szCs w:val="20"/>
          <w:color w:val="auto"/>
        </w:rPr>
      </w:pPr>
      <w:r>
        <w:rPr>
          <w:rFonts w:ascii="Arial" w:cs="Arial" w:eastAsia="Arial" w:hAnsi="Arial"/>
          <w:sz w:val="12"/>
          <w:szCs w:val="12"/>
          <w:color w:val="auto"/>
        </w:rPr>
        <w:t>The offer letter requires that Mr. Zales sign and comply with our nondisclosure, developments, and non-competition agreement, which provides that at all times during Mr. Zales' employment and thereafter, Mr. Zales will maintain the confidentiality of all confidential information obtained by him as a result of his employment and assign all inventions to us. In addition, during the term of Mr. Zales' employment, and for the one-year period (subject to certain extensions in the event of a breach) after Mr. Zales' termination of employment, Mr. Zales cannot (i) compete against our company, (ii) interfere or do business with any customers or affiliates of our company, or (iii) solicit in any way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existing or future employees of our company or any others who provide services to our company.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Benefits and Stock Plans</w:t>
      </w:r>
    </w:p>
    <w:p>
      <w:pPr>
        <w:spacing w:after="0" w:line="155" w:lineRule="exact"/>
        <w:rPr>
          <w:sz w:val="20"/>
          <w:szCs w:val="20"/>
          <w:color w:val="auto"/>
        </w:rPr>
      </w:pPr>
    </w:p>
    <w:p>
      <w:pPr>
        <w:ind w:right="280" w:firstLine="323"/>
        <w:spacing w:after="0" w:line="237" w:lineRule="auto"/>
        <w:rPr>
          <w:sz w:val="20"/>
          <w:szCs w:val="20"/>
          <w:color w:val="auto"/>
        </w:rPr>
      </w:pPr>
      <w:r>
        <w:rPr>
          <w:rFonts w:ascii="Arial" w:cs="Arial" w:eastAsia="Arial" w:hAnsi="Arial"/>
          <w:sz w:val="12"/>
          <w:szCs w:val="12"/>
          <w:color w:val="auto"/>
        </w:rPr>
        <w:t>To provide stock-based incentives to employees, consultants, and directors to encourage them to promote the success of our business, our board of directors previously adopted the CarGurus, LLC 2006 Equity Incentive Plan as of January 1, 2006, which was amended and restated most recently on August 6, 2015, to make changes necessary to reflect our conversion in corporate form from a Massachusetts limited liability company to a Delaware corporation. We refer to this as the Conversion. We refer to the 2006 Equity Incentive Plan as the 2006 Plan.</w:t>
      </w:r>
    </w:p>
    <w:p>
      <w:pPr>
        <w:spacing w:after="0" w:line="141" w:lineRule="exact"/>
        <w:rPr>
          <w:sz w:val="20"/>
          <w:szCs w:val="20"/>
          <w:color w:val="auto"/>
        </w:rPr>
      </w:pPr>
    </w:p>
    <w:p>
      <w:pPr>
        <w:ind w:firstLine="326"/>
        <w:spacing w:after="0" w:line="235" w:lineRule="auto"/>
        <w:rPr>
          <w:sz w:val="20"/>
          <w:szCs w:val="20"/>
          <w:color w:val="auto"/>
        </w:rPr>
      </w:pPr>
      <w:r>
        <w:rPr>
          <w:rFonts w:ascii="Arial" w:cs="Arial" w:eastAsia="Arial" w:hAnsi="Arial"/>
          <w:sz w:val="12"/>
          <w:szCs w:val="12"/>
          <w:color w:val="auto"/>
        </w:rPr>
        <w:t>Effective June 26, 2015, in connection with the Conversion, we adopted the CarGurus, Inc. 2015 Equity Incentive Plan, which was approved by our stockholders on the same date. We refer to the 2015 Equity Incentive Plan as the 2015 Plan. Like the 2006 Plan, the purpose of the 2015 Plan is to provide stock-based incentives to employees, consultants and directors to encourage them to promote the success of our business. Effective upon the adoption of the 2015 Plan, our board resolved that no further grants are permitted to be made under the 2006 Plan. The 2015 Plan was amended and restated effective August 6, 2015 to permit the grant of restricted stock units, remove Class B common stock from the pool of shares available for issuance under the plan and to make certain other changes. The 2015 Plan was again amended and restated effective October 15, 2015 to add a ten-year term and to make certain other changes. Effective August 22, 2016, and approved by our stockholders on the same date, the 2015 Plan was amended and restated to merge the 2006 Plan into the 2015 Plan, to increase the number of shares of Class A common stock to be issued under the 2015 Plan, and to lengthen the term of the plan. Outstanding options granted under the 2006 Plan continue in effect according to their terms as in effect before the plan merger, and the shares with respect to such outstanding options will be issued or transferred under the 2015 Plan. Effective June 21, 2017, in connection with the recapitalization effective on the same date, the 2015 Plan was amended and restated to memorialize the adjustment of the numbers and kinds of shares available for issuance pursuant to awards outstanding under the 2015 Plan as of such date and the numbers of shares that remain available for issuance under the 2015 Plan as of such date. Pursuant to the recapitalization, (i) each outstanding common stock option was adjusted such that (a) each share of common stock underlying such option became two shares of Class A common stock and four shares of Class B common stock underlying such option and (b) the exercise price per share of common stock underlying such option was adjusted to be one-sixth of the exercise price per share in effect immediately prior to the recapitalization, and (ii) each outstanding RSU was adjusted such that (a) each share of common stock issuable upon settlement of such RSU became two shares of Class A common stock and four shares of Class B common stock and (b) the fair market value per share of common stock issuable upon settlement of such RSU was adjusted to be one-sixth of the fair market value per share in effect immediately prior to the recapitalization.</w:t>
      </w:r>
    </w:p>
    <w:p>
      <w:pPr>
        <w:spacing w:after="0" w:line="144" w:lineRule="exact"/>
        <w:rPr>
          <w:sz w:val="20"/>
          <w:szCs w:val="20"/>
          <w:color w:val="auto"/>
        </w:rPr>
      </w:pPr>
    </w:p>
    <w:p>
      <w:pPr>
        <w:ind w:right="160" w:firstLine="326"/>
        <w:spacing w:after="0" w:line="237" w:lineRule="auto"/>
        <w:rPr>
          <w:sz w:val="20"/>
          <w:szCs w:val="20"/>
          <w:color w:val="auto"/>
        </w:rPr>
      </w:pPr>
      <w:r>
        <w:rPr>
          <w:rFonts w:ascii="Arial" w:cs="Arial" w:eastAsia="Arial" w:hAnsi="Arial"/>
          <w:sz w:val="12"/>
          <w:szCs w:val="12"/>
          <w:color w:val="auto"/>
        </w:rPr>
        <w:t>On September 28, 2017, our board of directors adopted, and our stockholders have approved, an Omnibus Incentive Compensation Plan. We refer to the Omnibus Incentive Compensation Plan as the 2017 Plan. Our 2017 Plan will become effective on the business day immediately preceding the effective date of the registration statement of which this prospectus is a part. As of the effective date of our 2017 Plan, no additional grants will be made under our 2015 Plan. Outstanding grants under our 2015 Plan will continue in effect according to their terms, and the shares with respect to outstanding grants under our 2015 Plan will be issued or transferred under the 2015 Plan.</w:t>
      </w:r>
    </w:p>
    <w:p>
      <w:pPr>
        <w:spacing w:after="0" w:line="139"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Shares of Class A common stock and Class B common stock subject to outstanding grants under our 2015 Plan as of the effective date of the 2017 Plan that terminate, expire, or are cancelled, forfeited, exchanged, or surrendered on or after the effective date of the 2017 Plan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26" w:name="page127"/>
    <w:bookmarkEnd w:id="12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without having been exercised, vested, or paid prior to the effective date of the 2017 Plan, including shares tendered or withheld to satisfy tax withholding obligations with respect to outstanding grants under the 2015 Plan, and the shares of our Class A common stock reserved for issuance under the 2015 Plan that remain available for grant under the 2015 Plan as of the effective date of the 2017 Plan, will be available for issuance as Class A common stock under our 2017 Plan.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Following this offering, we expect to grant equity awards under the 2017 Plan from time to time, but we have not determined at the current time the schedule or amount of such grants.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Plan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Purpose and Types of Grants</w:t>
      </w:r>
    </w:p>
    <w:p>
      <w:pPr>
        <w:spacing w:after="0" w:line="153"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purpose of our 2017 Plan is to attract and retain employees, non-employee directors and consultants, and advisors. Our 2017 Plan provides for the issuance of incentive stock options, non-qualified stock options, stock awards, stock units, stock appreciation rights, other stock-based awards, and cash awards. Our 2017 Plan is intended to provide an incentive to participants to contribute to our economic success by aligning the economic interests of participants with those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Administration</w:t>
      </w:r>
    </w:p>
    <w:p>
      <w:pPr>
        <w:spacing w:after="0" w:line="153" w:lineRule="exact"/>
        <w:rPr>
          <w:sz w:val="20"/>
          <w:szCs w:val="20"/>
          <w:color w:val="auto"/>
        </w:rPr>
      </w:pPr>
    </w:p>
    <w:p>
      <w:pPr>
        <w:ind w:right="80" w:firstLine="326"/>
        <w:spacing w:after="0" w:line="235" w:lineRule="auto"/>
        <w:rPr>
          <w:sz w:val="20"/>
          <w:szCs w:val="20"/>
          <w:color w:val="auto"/>
        </w:rPr>
      </w:pPr>
      <w:r>
        <w:rPr>
          <w:rFonts w:ascii="Arial" w:cs="Arial" w:eastAsia="Arial" w:hAnsi="Arial"/>
          <w:sz w:val="12"/>
          <w:szCs w:val="12"/>
          <w:color w:val="auto"/>
        </w:rPr>
        <w:t>Our 2017 Plan will be administered by our compensation committee, and our compensation committee will determine all of the terms and conditions applicable to grants under our 2017 Plan. Our compensation committee will also determine who will receive grants under our 2017 Plan and the number of shares of Class A common stock that will be subject to grants. Our compensation committee may delegate authority under the 2017 Plan to one or more subcommittees as it deems appropriate. Our compensation committee, when making grants to officers and directors, or the subcommittee to which it delegates authority to make grants to officers and directors, will consist entirely of "non-employee directors" as defined under Rule 16b-3 promulgated under the Exchange Act. In addition, our compensation committee or the subcommittee to which it delegates authority will consist of directors who are "independent directors," as determined in accordance with the independence standards established by the stock exchange on which our Class A common stock is at the time primarily traded, to the extent required thereunder. Subject to compliance with applicable law and the applicable stock exchange rules, our board of directors, in its discretion, may perform any action of our compensation committee under the 2017 Plan. Subject to compliance with applicable law and applicable stock exchange requirements, the compensation committee (or our board of directors or a subcommittee, as applicable) may delegate all or part of its authority to our Chief Executive Officer, as it deems appropriate, with respect to grants to employees or key advisors who are not executive officers or directors under Section 16 of the Exchange Act. Our compensation committee, our board of directors, any subcommittee or the Chief Executive Officer, as applicable, that has authority with respect to a specific grant will be referred to as "the committee" in this description of the 2017 Plan.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Shares Subject to the Plan</w:t>
      </w:r>
    </w:p>
    <w:p>
      <w:pPr>
        <w:spacing w:after="0" w:line="153" w:lineRule="exact"/>
        <w:rPr>
          <w:sz w:val="20"/>
          <w:szCs w:val="20"/>
          <w:color w:val="auto"/>
        </w:rPr>
      </w:pPr>
    </w:p>
    <w:p>
      <w:pPr>
        <w:ind w:right="100" w:firstLine="326"/>
        <w:spacing w:after="0" w:line="237" w:lineRule="auto"/>
        <w:rPr>
          <w:sz w:val="20"/>
          <w:szCs w:val="20"/>
          <w:color w:val="auto"/>
        </w:rPr>
      </w:pPr>
      <w:r>
        <w:rPr>
          <w:rFonts w:ascii="Arial" w:cs="Arial" w:eastAsia="Arial" w:hAnsi="Arial"/>
          <w:sz w:val="12"/>
          <w:szCs w:val="12"/>
          <w:color w:val="auto"/>
        </w:rPr>
        <w:t>Subject to adjustment, our 2017 Plan authorizes the issuance or transfer of up to the sum of the following: (1) 7,800,000 shares of Class A common stock, plus (2) the number of shares of our Class A common stock (up to 4,500,000 shares) equal to the sum of (x) the number of shares of Class A common stock and Class B common stock subject to outstanding grants under our 2015 Plan as of the effective date of the 2017 Plan that terminate, expire, or are cancelled, forfeited, exchanged, or surrendered on or after the effective date of the 2017 Plan without having been exercised, vested, or paid prior to the effective date of the 2017 Plan, including shares tendered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127" w:name="page128"/>
    <w:bookmarkEnd w:id="12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60"/>
        <w:spacing w:after="0" w:line="237" w:lineRule="auto"/>
        <w:rPr>
          <w:sz w:val="20"/>
          <w:szCs w:val="20"/>
          <w:color w:val="auto"/>
        </w:rPr>
      </w:pPr>
      <w:r>
        <w:rPr>
          <w:rFonts w:ascii="Arial" w:cs="Arial" w:eastAsia="Arial" w:hAnsi="Arial"/>
          <w:sz w:val="12"/>
          <w:szCs w:val="12"/>
          <w:color w:val="auto"/>
        </w:rPr>
        <w:t>withheld to satisfy tax withholding obligations with respect to outstanding grants under the 2015 Plan and, (y) the number of shares of our Class A common stock reserved for issuance under the 2015 Plan that remain available for grant under the 2015 Plan as of the effective date of the 2017 Plan. During the term of our 2017 Plan (excluding extensions), the share reserve will automatically increase on the first trading day in January of each calendar year, beginning in calendar year 2019, by an amount equal to 4% of the total number of outstanding shares of common stock on the last trading day in December of the prior calendar year or 6,000,000 shares of Class A common stock, whichever is less, or such lesser amount as determined by the Board.</w:t>
      </w:r>
    </w:p>
    <w:p>
      <w:pPr>
        <w:spacing w:after="0" w:line="139" w:lineRule="exact"/>
        <w:rPr>
          <w:sz w:val="20"/>
          <w:szCs w:val="20"/>
          <w:color w:val="auto"/>
        </w:rPr>
      </w:pPr>
    </w:p>
    <w:p>
      <w:pPr>
        <w:ind w:firstLine="326"/>
        <w:spacing w:after="0" w:line="259" w:lineRule="auto"/>
        <w:rPr>
          <w:sz w:val="20"/>
          <w:szCs w:val="20"/>
          <w:color w:val="auto"/>
        </w:rPr>
      </w:pPr>
      <w:r>
        <w:rPr>
          <w:rFonts w:ascii="Arial" w:cs="Arial" w:eastAsia="Arial" w:hAnsi="Arial"/>
          <w:sz w:val="11"/>
          <w:szCs w:val="11"/>
          <w:color w:val="auto"/>
        </w:rPr>
        <w:t>If any options or stock appreciation rights, including outstanding options and stock appreciation rights granted under our 2015 Plan, terminate, expire, or are canceled, forfeited, exchanged, or surrendered without having been exercised, or if any stock awards, stock units or other stock-based awards, including outstanding awards granted under our 2015 Plan, are forfeited, terminated, or otherwise not paid in full, the shares of our common stock subject to such grants will again be available for purposes of our 2017 Plan. In addition, if any shares of our common stock are surrendered in payment of the exercise price of an option or stock appreciation right, the number of shares available for issuance under our 2017 Plan will be reduced only by the net number of shares actually issued upon exercise and not by the total number of shares under which such option or stock appreciation right is exercised. If shares of our common stock are withheld in satisfaction of the withholding taxes incurred in connection with the issuance, vesting or exercise of any grant, or the issuance of our common stock, then the number of shares of our common stock available for issuance under our 2017 Plan shall be reduced by the net number of shares issued, vested, or exercised under such grant. If any grants are paid in cash, and not in shares of our common stock, any shares of our common stock subject to such grants will also be available for future grants. In addition, shares of our Class A common stock issued under grants made pursuant to assumption, substitution, or exchange of previously granted awards of a company that we acquire will not reduce the number of shares of our common stock available under the 2017 Plan. Available shares under a stockholder approved plan of an acquired company may be used for grants under the 2017 Plan and will not reduce the share reserve, subject to compliance with the applicable stock exchange and the Code.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Adjustments</w:t>
      </w:r>
    </w:p>
    <w:p>
      <w:pPr>
        <w:spacing w:after="0" w:line="153" w:lineRule="exact"/>
        <w:rPr>
          <w:sz w:val="20"/>
          <w:szCs w:val="20"/>
          <w:color w:val="auto"/>
        </w:rPr>
      </w:pPr>
    </w:p>
    <w:p>
      <w:pPr>
        <w:jc w:val="both"/>
        <w:ind w:right="120" w:firstLine="326"/>
        <w:spacing w:after="0" w:line="269" w:lineRule="auto"/>
        <w:rPr>
          <w:sz w:val="20"/>
          <w:szCs w:val="20"/>
          <w:color w:val="auto"/>
        </w:rPr>
      </w:pPr>
      <w:r>
        <w:rPr>
          <w:rFonts w:ascii="Arial" w:cs="Arial" w:eastAsia="Arial" w:hAnsi="Arial"/>
          <w:sz w:val="11"/>
          <w:szCs w:val="11"/>
          <w:color w:val="auto"/>
        </w:rPr>
        <w:t>In connection with stock splits, stock dividends, recapitalizations, and certain other events affecting our Class A common stock, the committee will make adjustments as it deems appropriate in the maximum number of shares of common stock reserved for issuance as grants; the number and kind of shares covered by outstanding grants; the kind of shares that may be issued or transferred under our 2017 Plan; the price per share or market value of any outstanding grants; the exercise price of options; the base amount of stock appreciation rights; and the performance goals or other terms; and conditions as the committee deems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Eligibility</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All of our employees are eligible to receive grants under our 2017 Plan. In addition, our non-employee directors and key advisors who perform services for us may receive grants under our 2017 Plan.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Vesting</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committee determines the vesting and exercisability terms of awards granted under our 2017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Options</w:t>
      </w:r>
    </w:p>
    <w:p>
      <w:pPr>
        <w:spacing w:after="0" w:line="153"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Under our 2017 Plan, the committee will determine the exercise price of the options granted and may grant options to purchase shares of common stock in such amounts as it determines. The committee may grant options that are intended to qualify as incentive stock options under Section 422 of the Code, or non-qualified stock options, which are not intended to so qualify. Incentive stock options may only be granted to our employees. Anyone eligible to participate in our 2017 Plan may receive a grant of non-qualified stock options. The exercise price of a stock option granted under our 2017 Plan cannot be less than the fair market value of a share of our Class A common stock on the date the option is granted. If an incentive stock option is granted to a 10% stockholder, the exercise price cannot be less than 110% of the fair market value of a share of our Class A common stock on the date the option is granted. The aggregate number of shares of Class A common stock that may be issued or transferred under the 2017 Plan pursuant to incentive stock options under Section 422 of the Code may not exceed 12,300,000 shares of Class A common stock.</w:t>
      </w:r>
    </w:p>
    <w:p>
      <w:pPr>
        <w:spacing w:after="0" w:line="141"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1"/>
          <w:szCs w:val="11"/>
          <w:color w:val="auto"/>
        </w:rPr>
        <w:t>The exercise price for any option is generally payable in cash. In certain circumstances as permitted by the committee, the exercise price may be paid by the surrender of shares of our Class A common stock with an aggregate fair market value on the date the option is exercised equal to the exercise price; by payment through a broker in accordance with procedures established by the Federal Reserve Board; by withholding shares of common stock subject to the exercisable option which have a fair market value on the date of exercise equal to the aggregate exercise price; or by such other method as the committee approves.</w:t>
      </w:r>
    </w:p>
    <w:p>
      <w:pPr>
        <w:spacing w:after="0" w:line="124" w:lineRule="exact"/>
        <w:rPr>
          <w:sz w:val="20"/>
          <w:szCs w:val="20"/>
          <w:color w:val="auto"/>
        </w:rPr>
      </w:pPr>
    </w:p>
    <w:p>
      <w:pPr>
        <w:jc w:val="both"/>
        <w:ind w:right="160" w:firstLine="323"/>
        <w:spacing w:after="0" w:line="237" w:lineRule="auto"/>
        <w:rPr>
          <w:sz w:val="20"/>
          <w:szCs w:val="20"/>
          <w:color w:val="auto"/>
        </w:rPr>
      </w:pPr>
      <w:r>
        <w:rPr>
          <w:rFonts w:ascii="Arial" w:cs="Arial" w:eastAsia="Arial" w:hAnsi="Arial"/>
          <w:sz w:val="12"/>
          <w:szCs w:val="12"/>
          <w:color w:val="auto"/>
        </w:rPr>
        <w:t>The term of an option cannot exceed ten years from the date of grant, except that if an incentive stock option is granted to a 10% stockholder, the term cannot exceed five years from the date of grant. In the event that on the last day of the term of a non-qualified stock option, the exercise is prohibited by applicable law, including a prohibition on purchases or sales of our Class A common stock under our insider trading policy, the term of the non-qualified option will be extended for a period of 30 days following the end of the legal prohibition, unless the committee determines otherwise.</w:t>
      </w:r>
    </w:p>
    <w:p>
      <w:pPr>
        <w:spacing w:after="0" w:line="141" w:lineRule="exact"/>
        <w:rPr>
          <w:sz w:val="20"/>
          <w:szCs w:val="20"/>
          <w:color w:val="auto"/>
        </w:rPr>
      </w:pPr>
    </w:p>
    <w:p>
      <w:pPr>
        <w:ind w:right="660" w:firstLine="326"/>
        <w:spacing w:after="0" w:line="239" w:lineRule="auto"/>
        <w:rPr>
          <w:sz w:val="20"/>
          <w:szCs w:val="20"/>
          <w:color w:val="auto"/>
        </w:rPr>
      </w:pPr>
      <w:r>
        <w:rPr>
          <w:rFonts w:ascii="Arial" w:cs="Arial" w:eastAsia="Arial" w:hAnsi="Arial"/>
          <w:sz w:val="12"/>
          <w:szCs w:val="12"/>
          <w:color w:val="auto"/>
        </w:rPr>
        <w:t>Except as provided in the grant instrument, an option may only be exercised while a participant is employed by or providing service to us. The committee will determine in the grant instrument under what circumstances and during what time periods a participant may exercise an option after termination of employment.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Appreciation Rights</w:t>
      </w:r>
    </w:p>
    <w:p>
      <w:pPr>
        <w:spacing w:after="0" w:line="153"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Under our 2017 Plan, the committee may grant stock appreciation rights, which may be granted separately or in tandem with any option. Stock appreciation rights granted with a non-qualified stock option may be granted either at the time the non-qualified stock option is granted or any time thereafter while the option remains outstanding. Stock appreciation rights granted with an incentive stock option may be granted only at the time the grant of the incentive stock option is made. The committee will establish the base amount of the stock appreciation right at the time the stock appreciation right is granted, which will be equal to or greater than the fair market value of a share of our Class A common stock as of the date of grant.</w:t>
      </w:r>
    </w:p>
    <w:p>
      <w:pPr>
        <w:spacing w:after="0" w:line="139" w:lineRule="exact"/>
        <w:rPr>
          <w:sz w:val="20"/>
          <w:szCs w:val="20"/>
          <w:color w:val="auto"/>
        </w:rPr>
      </w:pPr>
    </w:p>
    <w:p>
      <w:pPr>
        <w:ind w:right="220" w:firstLine="326"/>
        <w:spacing w:after="0" w:line="237" w:lineRule="auto"/>
        <w:rPr>
          <w:sz w:val="20"/>
          <w:szCs w:val="20"/>
          <w:color w:val="auto"/>
        </w:rPr>
      </w:pPr>
      <w:r>
        <w:rPr>
          <w:rFonts w:ascii="Arial" w:cs="Arial" w:eastAsia="Arial" w:hAnsi="Arial"/>
          <w:sz w:val="12"/>
          <w:szCs w:val="12"/>
          <w:color w:val="auto"/>
        </w:rPr>
        <w:t>If a stock appreciation right is granted in tandem with an option, the number of stock appreciation rights that are exercisable during a specified period will not exceed the number of shares of our Class A common stock that the participant may purchase upon exercising the related option during such period. Upon exercising the related option, the related stock appreciation rights will terminate, and upon the exercise of a stock appreciation right, the related option will terminate to the extent of an equal number of shares of our Class A common stock. Generally, stock</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29" w:name="page130"/>
    <w:bookmarkEnd w:id="12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160"/>
        <w:spacing w:after="0" w:line="239" w:lineRule="auto"/>
        <w:rPr>
          <w:sz w:val="20"/>
          <w:szCs w:val="20"/>
          <w:color w:val="auto"/>
        </w:rPr>
      </w:pPr>
      <w:r>
        <w:rPr>
          <w:rFonts w:ascii="Arial" w:cs="Arial" w:eastAsia="Arial" w:hAnsi="Arial"/>
          <w:sz w:val="12"/>
          <w:szCs w:val="12"/>
          <w:color w:val="auto"/>
        </w:rPr>
        <w:t>appreciation rights may only be exercised while the participant is employed by, or providing services to, us. When a participant exercises a stock appreciation right, the participant will receive the excess of the fair market value of the underlying common stock over the base amount of the stock appreciation right. The appreciation of a stock appreciation right will be paid in shares of our Class A common stock, cash or both.</w:t>
      </w:r>
    </w:p>
    <w:p>
      <w:pPr>
        <w:spacing w:after="0" w:line="139" w:lineRule="exact"/>
        <w:rPr>
          <w:sz w:val="20"/>
          <w:szCs w:val="20"/>
          <w:color w:val="auto"/>
        </w:rPr>
      </w:pPr>
    </w:p>
    <w:p>
      <w:pPr>
        <w:ind w:right="80" w:firstLine="323"/>
        <w:spacing w:after="0" w:line="237" w:lineRule="auto"/>
        <w:rPr>
          <w:sz w:val="20"/>
          <w:szCs w:val="20"/>
          <w:color w:val="auto"/>
        </w:rPr>
      </w:pPr>
      <w:r>
        <w:rPr>
          <w:rFonts w:ascii="Arial" w:cs="Arial" w:eastAsia="Arial" w:hAnsi="Arial"/>
          <w:sz w:val="12"/>
          <w:szCs w:val="12"/>
          <w:color w:val="auto"/>
        </w:rPr>
        <w:t>The term of a stock appreciation right cannot exceed ten years from the date of grant. In the event that on the last day of the term of a stock appreciation right, the exercise is prohibited by applicable law, including a prohibition on purchases or sales of our Class A common stock under our insider trading policy, the term of the stock appreciation right will be extended for a period of 30 days following the end of the legal prohibition, unless the committee determines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Awards</w:t>
      </w:r>
    </w:p>
    <w:p>
      <w:pPr>
        <w:spacing w:after="0" w:line="153"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Under our 2017 Plan, the committee may grant stock awards. A stock award is an award of our Class A common stock that may be subject to restrictions as the committee determines. The restrictions, if any, may lapse over a specified period of employment or based on the satisfaction of pre-established criteria, in installments or otherwise, as the committee may determine. Except to the extent restricted under the grant instrument relating to the stock award, a participant will have all of the rights of a stockholder as to those shares, including the right to vote and the right to receive dividends or distributions on the shares. Dividends with respect to stock awards that vest based on performance shall vest if and to the extent that the underlying stock award vests, as determined by the committee. All unvested stock awards are forfeited if the participant's employment or service is terminated for any reason, unless the committee determines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Units</w:t>
      </w:r>
    </w:p>
    <w:p>
      <w:pPr>
        <w:spacing w:after="0" w:line="153" w:lineRule="exact"/>
        <w:rPr>
          <w:sz w:val="20"/>
          <w:szCs w:val="20"/>
          <w:color w:val="auto"/>
        </w:rPr>
      </w:pPr>
    </w:p>
    <w:p>
      <w:pPr>
        <w:jc w:val="both"/>
        <w:ind w:right="140" w:firstLine="326"/>
        <w:spacing w:after="0" w:line="237" w:lineRule="auto"/>
        <w:rPr>
          <w:sz w:val="20"/>
          <w:szCs w:val="20"/>
          <w:color w:val="auto"/>
        </w:rPr>
      </w:pPr>
      <w:r>
        <w:rPr>
          <w:rFonts w:ascii="Arial" w:cs="Arial" w:eastAsia="Arial" w:hAnsi="Arial"/>
          <w:sz w:val="12"/>
          <w:szCs w:val="12"/>
          <w:color w:val="auto"/>
        </w:rPr>
        <w:t>Under our 2017 Plan, the committee may grant restricted stock units to anyone eligible to participate in our 2017 Plan. Restricted stock units are phantom units that represent shares of our Class A common stock. Stock units become payable on terms and conditions determined by the committee and will be payable in cash or shares of our stock as determined by the committee. All unvested restricted stock units are forfeited if the participant's employment or service is terminated for any reason, unless the committee determines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Awards</w:t>
      </w:r>
    </w:p>
    <w:p>
      <w:pPr>
        <w:spacing w:after="0" w:line="153"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Under the 2017 Plan, the committee may grant cash awards to our employees who are executives or other key employees. The committee will determine which employees will receive cash awards and the terms and conditions applicable to each cash award, including the criteria for vesting.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Stock-Based Awards</w:t>
      </w:r>
    </w:p>
    <w:p>
      <w:pPr>
        <w:spacing w:after="0" w:line="153" w:lineRule="exact"/>
        <w:rPr>
          <w:sz w:val="20"/>
          <w:szCs w:val="20"/>
          <w:color w:val="auto"/>
        </w:rPr>
      </w:pPr>
    </w:p>
    <w:p>
      <w:pPr>
        <w:ind w:right="360" w:firstLine="326"/>
        <w:spacing w:after="0" w:line="239" w:lineRule="auto"/>
        <w:rPr>
          <w:sz w:val="20"/>
          <w:szCs w:val="20"/>
          <w:color w:val="auto"/>
        </w:rPr>
      </w:pPr>
      <w:r>
        <w:rPr>
          <w:rFonts w:ascii="Arial" w:cs="Arial" w:eastAsia="Arial" w:hAnsi="Arial"/>
          <w:sz w:val="12"/>
          <w:szCs w:val="12"/>
          <w:color w:val="auto"/>
        </w:rPr>
        <w:t>Under our 2017 Plan, the committee may grant other types of awards that are based on, measured by, or payable to, anyone eligible to participate in our 2017 Plan in shares of our Class A common stock. The committee will determine the terms and conditions of such awards. Other stock-based awards may be payable in cash, shares of our Class A common stock, or a combination of the two.</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Equivalents</w:t>
      </w:r>
    </w:p>
    <w:p>
      <w:pPr>
        <w:spacing w:after="0" w:line="153" w:lineRule="exact"/>
        <w:rPr>
          <w:sz w:val="20"/>
          <w:szCs w:val="20"/>
          <w:color w:val="auto"/>
        </w:rPr>
      </w:pPr>
    </w:p>
    <w:p>
      <w:pPr>
        <w:ind w:right="240" w:firstLine="326"/>
        <w:spacing w:after="0" w:line="239" w:lineRule="auto"/>
        <w:rPr>
          <w:sz w:val="20"/>
          <w:szCs w:val="20"/>
          <w:color w:val="auto"/>
        </w:rPr>
      </w:pPr>
      <w:r>
        <w:rPr>
          <w:rFonts w:ascii="Arial" w:cs="Arial" w:eastAsia="Arial" w:hAnsi="Arial"/>
          <w:sz w:val="12"/>
          <w:szCs w:val="12"/>
          <w:color w:val="auto"/>
        </w:rPr>
        <w:t>Under our 2017 Plan, the committee may grant dividend equivalents in connection with grants of stock units or other stock-based awards made under our 2017 Plan. Dividend equivalents entitle the participant to receive amounts equal to ordinary dividends that are paid on the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30" w:name="page131"/>
    <w:bookmarkEnd w:id="13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underlying a grant while the grant is outstanding. The committee will determine whether dividend equivalents will be paid currently or accrued as contingent cash obligations. Dividend equivalents may be paid in cash, in shares of our Class A common stock, or in a combination of the two. The committee will determine the terms and conditions of the dividend equivalent grants, including whether the grants are payable upon the achievement of specific performance goals. Dividend equivalents with respect to stock units or other stock-based awards that vest based on performance shall vest and be paid only if and to the extent that the underlying stock units or other stock-based awards vest and are paid as determined by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of Control</w:t>
      </w:r>
    </w:p>
    <w:p>
      <w:pPr>
        <w:spacing w:after="0" w:line="153"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If we experience a change of control where we are not the surviving corporation (or survive only as a subsidiary of another corporation), unless the committee determines otherwise, all outstanding grants that are not exercised or paid at the time of the change of control will be assumed by, or replaced with grants that have comparable terms by, the surviving corporation (or a parent or subsidiary of the surviving corporation). Unless a grant instrument provides otherwise, if a participant's employment is terminated by the surviving corporation without cause upon or within 12 months following a change of control, the participant's outstanding grants will fully vest as of the date of termination; provided that if the vesting of any grants is based, in whole or in part, on performance, the applicable grant instrument will specify how the portion of the grant that becomes vested upon a termination following a change in control will be calculated.</w:t>
      </w:r>
    </w:p>
    <w:p>
      <w:pPr>
        <w:spacing w:after="0" w:line="141"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If there is a change of control and all outstanding grants are not assumed by, or replaced with grants that have comparable terms by, the surviving corporation, the committee may take any of the following action without the consent of any participant:</w:t>
      </w:r>
    </w:p>
    <w:p>
      <w:pPr>
        <w:spacing w:after="0" w:line="139" w:lineRule="exact"/>
        <w:rPr>
          <w:sz w:val="20"/>
          <w:szCs w:val="20"/>
          <w:color w:val="auto"/>
        </w:rPr>
      </w:pPr>
    </w:p>
    <w:p>
      <w:pPr>
        <w:ind w:left="720" w:right="200" w:hanging="368"/>
        <w:spacing w:after="0" w:line="239"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determine that outstanding options and stock appreciation rights will accelerate and become fully exercisable and the restrictions and conditions on outstanding stock awards, stock units, cash awards, and dividend equivalents immediately lapse;</w:t>
      </w:r>
    </w:p>
    <w:p>
      <w:pPr>
        <w:spacing w:after="0" w:line="139" w:lineRule="exact"/>
        <w:rPr>
          <w:rFonts w:ascii="Arial" w:cs="Arial" w:eastAsia="Arial" w:hAnsi="Arial"/>
          <w:sz w:val="12"/>
          <w:szCs w:val="12"/>
          <w:color w:val="auto"/>
        </w:rPr>
      </w:pPr>
    </w:p>
    <w:p>
      <w:pPr>
        <w:ind w:left="720" w:hanging="368"/>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pay participants, in an amount and form determined by the committee, in settlement of outstanding stock units, cash awards, or dividend equivalents;</w:t>
      </w:r>
    </w:p>
    <w:p>
      <w:pPr>
        <w:spacing w:after="0" w:line="132" w:lineRule="exact"/>
        <w:rPr>
          <w:rFonts w:ascii="Arial" w:cs="Arial" w:eastAsia="Arial" w:hAnsi="Arial"/>
          <w:sz w:val="12"/>
          <w:szCs w:val="12"/>
          <w:color w:val="auto"/>
        </w:rPr>
      </w:pPr>
    </w:p>
    <w:p>
      <w:pPr>
        <w:ind w:left="720" w:right="180" w:hanging="368"/>
        <w:spacing w:after="0" w:line="237"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require that participants surrender their outstanding stock options, stock appreciation rights or any other exercisable grant, in exchange for a payment by us, in cash or shares of our Class A common stock, equal to the difference between the exercise price and the fair market value of the underlying shares of Class A common stock; provided, however, if the per share fair market value of the Class A common stock does not exceed the per share stock option exercise price or stock appreciation right base amount, as applicable, we will not be required to make any payment to the participant upon surrender of the stock option or stock appreciation right; or</w:t>
      </w:r>
    </w:p>
    <w:p>
      <w:pPr>
        <w:spacing w:after="0" w:line="130" w:lineRule="exact"/>
        <w:rPr>
          <w:rFonts w:ascii="Arial" w:cs="Arial" w:eastAsia="Arial" w:hAnsi="Arial"/>
          <w:sz w:val="12"/>
          <w:szCs w:val="12"/>
          <w:color w:val="auto"/>
        </w:rPr>
      </w:pPr>
    </w:p>
    <w:p>
      <w:pPr>
        <w:ind w:left="720" w:right="460" w:hanging="368"/>
        <w:spacing w:after="0" w:line="239"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after giving participants an opportunity to exercise all of their outstanding stock options and stock appreciation rights, terminate any unexercised stock options and stock appreciation rights on the date determined by our compensation committee.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general terms, a change of control under our 2017 Plan occurs if:</w:t>
      </w:r>
    </w:p>
    <w:p>
      <w:pPr>
        <w:spacing w:after="0" w:line="150" w:lineRule="exact"/>
        <w:rPr>
          <w:sz w:val="20"/>
          <w:szCs w:val="20"/>
          <w:color w:val="auto"/>
        </w:rPr>
      </w:pPr>
    </w:p>
    <w:p>
      <w:pPr>
        <w:ind w:left="720" w:hanging="368"/>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 person, entity or affiliated group, with certain exceptions, acquires more than 50% of our then outstanding voting securities;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we merge into another entity unless the holders of our voting shares immediately prior to the merger have at least 50% of the combined voting power of the securities in the merged entity or its parent;</w:t>
      </w:r>
    </w:p>
    <w:p>
      <w:pPr>
        <w:spacing w:after="0" w:line="141" w:lineRule="exact"/>
        <w:rPr>
          <w:rFonts w:ascii="Arial" w:cs="Arial" w:eastAsia="Arial" w:hAnsi="Arial"/>
          <w:sz w:val="12"/>
          <w:szCs w:val="12"/>
          <w:color w:val="auto"/>
        </w:rPr>
      </w:pPr>
    </w:p>
    <w:p>
      <w:pPr>
        <w:ind w:left="5640"/>
        <w:spacing w:after="0"/>
        <w:rPr>
          <w:rFonts w:ascii="Arial" w:cs="Arial" w:eastAsia="Arial" w:hAnsi="Arial"/>
          <w:sz w:val="12"/>
          <w:szCs w:val="12"/>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131" w:name="page132"/>
    <w:bookmarkEnd w:id="13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hanging="368"/>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we merge into another entity and the members of the board of directors prior to the merger would not constitute a majority of the board of the merged entity or its parent;</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we sell or dispose of all or substantially all of our assets;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our stockholders approve a plan of complete liquidation or dissolution; or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majority of the members of our board of directors is replaced during any 12-month period by directors whose appointment or election is not endorsed by a majority of the incumbent directors.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Deferrals</w:t>
      </w:r>
    </w:p>
    <w:p>
      <w:pPr>
        <w:spacing w:after="0" w:line="153" w:lineRule="exact"/>
        <w:rPr>
          <w:sz w:val="20"/>
          <w:szCs w:val="20"/>
          <w:color w:val="auto"/>
        </w:rPr>
      </w:pPr>
    </w:p>
    <w:p>
      <w:pPr>
        <w:ind w:right="40" w:firstLine="323"/>
        <w:spacing w:after="0" w:line="239" w:lineRule="auto"/>
        <w:rPr>
          <w:sz w:val="20"/>
          <w:szCs w:val="20"/>
          <w:color w:val="auto"/>
        </w:rPr>
      </w:pPr>
      <w:r>
        <w:rPr>
          <w:rFonts w:ascii="Arial" w:cs="Arial" w:eastAsia="Arial" w:hAnsi="Arial"/>
          <w:sz w:val="12"/>
          <w:szCs w:val="12"/>
          <w:color w:val="auto"/>
        </w:rPr>
        <w:t>The committee may permit or require participants to defer receipt of the payment of cash or the delivery of shares of common stock that would otherwise be due to the participant in connection with a grant under our 2017 Plan. The committee will establish the rules and procedures applicable to any such deferrals, consistent with the requirements of Section 409A of the Code.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Withholding</w:t>
      </w:r>
    </w:p>
    <w:p>
      <w:pPr>
        <w:spacing w:after="0" w:line="153" w:lineRule="exact"/>
        <w:rPr>
          <w:sz w:val="20"/>
          <w:szCs w:val="20"/>
          <w:color w:val="auto"/>
        </w:rPr>
      </w:pPr>
    </w:p>
    <w:p>
      <w:pPr>
        <w:ind w:firstLine="319"/>
        <w:spacing w:after="0" w:line="237" w:lineRule="auto"/>
        <w:rPr>
          <w:sz w:val="20"/>
          <w:szCs w:val="20"/>
          <w:color w:val="auto"/>
        </w:rPr>
      </w:pPr>
      <w:r>
        <w:rPr>
          <w:rFonts w:ascii="Arial" w:cs="Arial" w:eastAsia="Arial" w:hAnsi="Arial"/>
          <w:sz w:val="12"/>
          <w:szCs w:val="12"/>
          <w:color w:val="auto"/>
        </w:rPr>
        <w:t>All grants under the 2017 Plan are subject to applicable U.S. federal (including FICA), state and local, foreign, or other tax withholding requirements. We may require participants or other persons receiving grants or exercising grants to pay an amount sufficient to satisfy such tax withholding requirements with respect to such grants, or we may deduct from other wages and compensation paid by us the amount of any withholding taxes due with respect to such grant.</w:t>
      </w:r>
    </w:p>
    <w:p>
      <w:pPr>
        <w:spacing w:after="0" w:line="141" w:lineRule="exact"/>
        <w:rPr>
          <w:sz w:val="20"/>
          <w:szCs w:val="20"/>
          <w:color w:val="auto"/>
        </w:rPr>
      </w:pPr>
    </w:p>
    <w:p>
      <w:pPr>
        <w:ind w:right="120" w:firstLine="323"/>
        <w:spacing w:after="0" w:line="269" w:lineRule="auto"/>
        <w:rPr>
          <w:sz w:val="20"/>
          <w:szCs w:val="20"/>
          <w:color w:val="auto"/>
        </w:rPr>
      </w:pPr>
      <w:r>
        <w:rPr>
          <w:rFonts w:ascii="Arial" w:cs="Arial" w:eastAsia="Arial" w:hAnsi="Arial"/>
          <w:sz w:val="11"/>
          <w:szCs w:val="11"/>
          <w:color w:val="auto"/>
        </w:rPr>
        <w:t>The committee may permit or require that our tax withholding obligation with respect to grants paid in our Class A common stock to be paid by having shares withheld up to an amount that does not exceed the participant's minimum applicable withholding tax rate for United States federal (including FICA), state and local tax liabilities, or as otherwise determined by the committee. In addition, the committee may, in its discretion, and subject to such rules as the committee may adopt, allow participants to elect to have such share withholding applied to all or a portion of the tax withholding obligation arising in connection with any particular grant.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Transferability</w:t>
      </w:r>
    </w:p>
    <w:p>
      <w:pPr>
        <w:spacing w:after="0" w:line="153"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Except as permitted by the committee with respect to non-qualified stock options, only a participant may exercise rights under a grant during the participant's lifetime. Upon death, the personal representative or other person entitled to succeed to the rights of the participant may exercise such rights. A participant cannot transfer those rights except by will or by the laws of descent and distribution or, with respect to grants other than incentive stock options, pursuant to a domestic relations order. The committee may provide in a grant instrument that a participant may transfer non-qualified stock options to family members, or one or more trusts or other entities for the benefit of or owned by family members, consistent with applicable securities laws.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 Termination</w:t>
      </w:r>
    </w:p>
    <w:p>
      <w:pPr>
        <w:spacing w:after="0" w:line="153" w:lineRule="exact"/>
        <w:rPr>
          <w:sz w:val="20"/>
          <w:szCs w:val="20"/>
          <w:color w:val="auto"/>
        </w:rPr>
      </w:pPr>
    </w:p>
    <w:p>
      <w:pPr>
        <w:jc w:val="both"/>
        <w:ind w:right="40" w:firstLine="326"/>
        <w:spacing w:after="0" w:line="237" w:lineRule="auto"/>
        <w:rPr>
          <w:sz w:val="20"/>
          <w:szCs w:val="20"/>
          <w:color w:val="auto"/>
        </w:rPr>
      </w:pPr>
      <w:r>
        <w:rPr>
          <w:rFonts w:ascii="Arial" w:cs="Arial" w:eastAsia="Arial" w:hAnsi="Arial"/>
          <w:sz w:val="12"/>
          <w:szCs w:val="12"/>
          <w:color w:val="auto"/>
        </w:rPr>
        <w:t>Our board of directors may amend or terminate our 2017 Plan at any time, except that our stockholders must approve an amendment if such approval is required in order to comply with the Code, applicable laws, or applicable stock exchange requirements. Unless terminated sooner by our board of directors or extended with stockholder approval, our 2017 Plan will terminate on the day immediately preceding the tenth anniversary of the effective date of the 2017 Plan.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32" w:name="page133"/>
    <w:bookmarkEnd w:id="13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Approval</w:t>
      </w:r>
    </w:p>
    <w:p>
      <w:pPr>
        <w:spacing w:after="0" w:line="153"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2017 Plan is intended to comply with the transition relief set forth in Treasury Regulation §1.162-27(f)(1) for companies that become publicly held in connection with an initial public offering. Following the transition period set forth therein, if grants are made as "qualified performance-based compensation" for purposes of Section 162(m) of the Code, the 2017 Plan must be approved by our stockholders in accordance with the requirements of Section 162(m) of the Code, and reapproved by our stockholders no later than the first stockholders meeting that occurs in the fifth year following such stockholder approval, if required by Section 162(m) of the Code or the regulations thereunder.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Establishment of Sub-Plans</w:t>
      </w:r>
    </w:p>
    <w:p>
      <w:pPr>
        <w:spacing w:after="0" w:line="153"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Our board of directors may, from time to time, establish one or more sub-plans under the 2017 Plan to satisfy applicable blue sky, securities, or tax laws of various jurisdictions. Our board of directors may establish such sub-plans by adopting supplements to the 2017 Plan setting forth limitations on the committee's discretion and such additional terms and conditions not otherwise inconsistent with the 2017 Plan as our board of directors will deem necessary or desirable. All such supplements will be deemed part of the 2017 Plan, but each supplement will only apply to participants within the affected jurisdiction.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Clawback</w:t>
      </w:r>
    </w:p>
    <w:p>
      <w:pPr>
        <w:spacing w:after="0" w:line="153" w:lineRule="exact"/>
        <w:rPr>
          <w:sz w:val="20"/>
          <w:szCs w:val="20"/>
          <w:color w:val="auto"/>
        </w:rPr>
      </w:pPr>
    </w:p>
    <w:p>
      <w:pPr>
        <w:jc w:val="both"/>
        <w:ind w:firstLine="326"/>
        <w:spacing w:after="0" w:line="237" w:lineRule="auto"/>
        <w:rPr>
          <w:sz w:val="20"/>
          <w:szCs w:val="20"/>
          <w:color w:val="auto"/>
        </w:rPr>
      </w:pPr>
      <w:r>
        <w:rPr>
          <w:rFonts w:ascii="Arial" w:cs="Arial" w:eastAsia="Arial" w:hAnsi="Arial"/>
          <w:sz w:val="12"/>
          <w:szCs w:val="12"/>
          <w:color w:val="auto"/>
        </w:rPr>
        <w:t>Subject to applicable law, the committee may provide in any grant instrument that if a participant breaches any restrictive covenant agreement between the participant and us, or otherwise engages in activities that constitute cause (as defined in our 2017 Plan) either while employed by, or providing services to, us or within a specified period of time thereafter, all grants held by the participant will terminate, and we may rescind any exercise of an option or stock appreciation right and the vesting of any other grant and delivery of shares upon such exercise or vesting, as applicable on such terms as the committee will determine, including the right to require that in the event of any rescission:</w:t>
      </w:r>
    </w:p>
    <w:p>
      <w:pPr>
        <w:spacing w:after="0" w:line="139" w:lineRule="exact"/>
        <w:rPr>
          <w:sz w:val="20"/>
          <w:szCs w:val="20"/>
          <w:color w:val="auto"/>
        </w:rPr>
      </w:pPr>
    </w:p>
    <w:p>
      <w:pPr>
        <w:ind w:left="720" w:hanging="368"/>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participant must return the shares received upon the exercise of any option or stock appreciation right or the vesting and payment of any other grants; or</w:t>
      </w:r>
    </w:p>
    <w:p>
      <w:pPr>
        <w:spacing w:after="0" w:line="141" w:lineRule="exact"/>
        <w:rPr>
          <w:rFonts w:ascii="Arial" w:cs="Arial" w:eastAsia="Arial" w:hAnsi="Arial"/>
          <w:sz w:val="12"/>
          <w:szCs w:val="12"/>
          <w:color w:val="auto"/>
        </w:rPr>
      </w:pPr>
    </w:p>
    <w:p>
      <w:pPr>
        <w:ind w:left="720" w:right="60" w:hanging="368"/>
        <w:spacing w:after="0" w:line="237" w:lineRule="auto"/>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if the participant no longer owns the shares, the participant must pay to us the amount of any gain realized or payment received as a result of any sale or other disposition of the shares (if the participant transferred the shares by gift or without consideration, then the fair market value of the shares on the date of the breach of the restrictive covenant agreement or activity constituting cause), net of the price originally paid by the participant for the shares.</w:t>
      </w:r>
    </w:p>
    <w:p>
      <w:pPr>
        <w:spacing w:after="0" w:line="141" w:lineRule="exact"/>
        <w:rPr>
          <w:sz w:val="20"/>
          <w:szCs w:val="20"/>
          <w:color w:val="auto"/>
        </w:rPr>
      </w:pPr>
    </w:p>
    <w:p>
      <w:pPr>
        <w:ind w:right="200" w:firstLine="323"/>
        <w:spacing w:after="0" w:line="281" w:lineRule="auto"/>
        <w:rPr>
          <w:sz w:val="20"/>
          <w:szCs w:val="20"/>
          <w:color w:val="auto"/>
        </w:rPr>
      </w:pPr>
      <w:r>
        <w:rPr>
          <w:rFonts w:ascii="Arial" w:cs="Arial" w:eastAsia="Arial" w:hAnsi="Arial"/>
          <w:sz w:val="11"/>
          <w:szCs w:val="11"/>
          <w:color w:val="auto"/>
        </w:rPr>
        <w:t>The committee may also provide for clawbacks pursuant to a clawback policy, which our board of directors may in the future adopt and amend from time to time. Payment by the participant will be made in such manner and on such terms and conditions as may be required by the committee. We will be entitled to set off against the amount of any such payment any amounts that we otherwise owe to the participant.</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2015 Plan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 Reserve</w:t>
      </w:r>
    </w:p>
    <w:p>
      <w:pPr>
        <w:spacing w:after="0" w:line="153" w:lineRule="exact"/>
        <w:rPr>
          <w:sz w:val="20"/>
          <w:szCs w:val="20"/>
          <w:color w:val="auto"/>
        </w:rPr>
      </w:pPr>
    </w:p>
    <w:p>
      <w:pPr>
        <w:ind w:right="40" w:firstLine="319"/>
        <w:spacing w:after="0" w:line="239" w:lineRule="auto"/>
        <w:rPr>
          <w:sz w:val="20"/>
          <w:szCs w:val="20"/>
          <w:color w:val="auto"/>
        </w:rPr>
      </w:pPr>
      <w:r>
        <w:rPr>
          <w:rFonts w:ascii="Arial" w:cs="Arial" w:eastAsia="Arial" w:hAnsi="Arial"/>
          <w:sz w:val="12"/>
          <w:szCs w:val="12"/>
          <w:color w:val="auto"/>
        </w:rPr>
        <w:t>As of June 21, 2017, the maximum aggregate number of shares of our Class A and Class B common stock that has been reserved for issuance under the 2015 Plan is 8,343,384 shares, which includes 3,181,740 shares of Class A common stock and 5,161,644 shares of Class B common</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142" w:right="379" w:bottom="1440" w:gutter="0" w:footer="0" w:header="0"/>
        </w:sectPr>
      </w:pPr>
    </w:p>
    <w:bookmarkStart w:id="133" w:name="page134"/>
    <w:bookmarkEnd w:id="13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stock. Together, our Class A common stock and Class B common stock are referred to in this summary of the 2015 Plan as "stock" or "common stock." The foregoing number is subject to adjustment in the event of a merger, consolidation, spinoff, stock split, stock dividend, or other unusual event affecting the outstanding stock as a class without the company's receipt of consideration. The shares we issue under the 2015 Plan may be either authorized but unissued shares or shares held by us in treasury. If any award is forfeited, or if any option (including options under the 2006 Plan) is forfeited, expired, terminated or canceled without having been exercised in full, the number of shares subject to the award will again be available for purposes of awards with respect to Class A common stock under the 2015 Plan, or after the effective date of the 2017 Plan, under the 2017 Plan. In addition, if any shares are tendered or withheld to satisfy withholding obligations, the shares will again be available for issuance with respect to Class A common stock under the 2015 Plan, and after the effective date of the 2017 Plan, under the 2017 Plan. If stock options (including options under the 2006 Plan) are exercised using net exercise, only the net number of shares will be considered to have been issued.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Types of Awards</w:t>
      </w:r>
    </w:p>
    <w:p>
      <w:pPr>
        <w:spacing w:after="0" w:line="153" w:lineRule="exact"/>
        <w:rPr>
          <w:sz w:val="20"/>
          <w:szCs w:val="20"/>
          <w:color w:val="auto"/>
        </w:rPr>
      </w:pPr>
    </w:p>
    <w:p>
      <w:pPr>
        <w:ind w:right="100" w:firstLine="323"/>
        <w:spacing w:after="0" w:line="239" w:lineRule="auto"/>
        <w:rPr>
          <w:sz w:val="20"/>
          <w:szCs w:val="20"/>
          <w:color w:val="auto"/>
        </w:rPr>
      </w:pPr>
      <w:r>
        <w:rPr>
          <w:rFonts w:ascii="Arial" w:cs="Arial" w:eastAsia="Arial" w:hAnsi="Arial"/>
          <w:sz w:val="12"/>
          <w:szCs w:val="12"/>
          <w:color w:val="auto"/>
        </w:rPr>
        <w:t>The 2015 Plan permits us to grant options (both incentive stock options and nonstatutory stock options), restricted stock, restricted stock units, or stock grants to employees, consultants and non-employee directors of the company or our affiliates. Incentive stock options may only be granted to employees.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Administration</w:t>
      </w:r>
    </w:p>
    <w:p>
      <w:pPr>
        <w:spacing w:after="0" w:line="153"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Our 2015 Plan is administered by a committee of the board of directors. In addition, the board of directors may itself administer the plan. The committee may also delegate to an executive officer or officers the ability to grant awards under the plan to employees who are not officers. Subject to the terms of the 2015 Plan, the committee or the board of directors has complete authority to select the individuals to whom awards will be granted, to make any combination of awards to participants, and to determine the specific terms and conditions of each award.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153"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Incentive stock options and nonstatutory stock options are granted pursuant to stock option agreements adopted by the committee. The committee determines the exercise price for a stock option, within the terms and conditions of the 2015 Plan, provided that the exercise price of a stock option cannot be less than 100% of the fair market value of our Class A common stock on the date of grant. Options granted under the 2015 Plan are exercisable at the rate specified by the committee. The committee may provide that any options not otherwise immediately exercisable in full become exercisable in whole or in part at any time, subject to certain restrictions in the plan related to incentive stock options.</w:t>
      </w:r>
    </w:p>
    <w:p>
      <w:pPr>
        <w:spacing w:after="0" w:line="139"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committee determines the term of stock options granted under the 2015 Plan, up to a maximum of ten years. Unless the committee provides otherwise, if an option holder's service relationship with us, or any of our affiliates, ceases for any reason, including the affiliate ceasing to be an affiliate, the option holder may generally exercise any vested options for a period of 30 days following the cessation of service. In no event may an option be exercised beyond the expiration of its term.</w:t>
      </w:r>
    </w:p>
    <w:p>
      <w:pPr>
        <w:spacing w:after="0" w:line="141" w:lineRule="exact"/>
        <w:rPr>
          <w:sz w:val="20"/>
          <w:szCs w:val="20"/>
          <w:color w:val="auto"/>
        </w:rPr>
      </w:pPr>
    </w:p>
    <w:p>
      <w:pPr>
        <w:ind w:right="60" w:firstLine="319"/>
        <w:spacing w:after="0" w:line="239" w:lineRule="auto"/>
        <w:rPr>
          <w:sz w:val="20"/>
          <w:szCs w:val="20"/>
          <w:color w:val="auto"/>
        </w:rPr>
      </w:pPr>
      <w:r>
        <w:rPr>
          <w:rFonts w:ascii="Arial" w:cs="Arial" w:eastAsia="Arial" w:hAnsi="Arial"/>
          <w:sz w:val="12"/>
          <w:szCs w:val="12"/>
          <w:color w:val="auto"/>
        </w:rPr>
        <w:t>Acceptable consideration for the purchase of common stock issued upon the exercise of a stock option will be determined by the committee and may include (i) cash or check, (ii) delivery of shares to us with a value equal to the exercise price of the shares to be purchased, (iii) a net exercise of the option, (iv) delivery of the option holder's promissory note in the principal amount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34" w:name="page135"/>
    <w:bookmarkEnd w:id="13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equal to the exercise price of the shares to be purchased, (v) if our common stock is publicly traded, a broker-assisted cashless exercise, or (vi) such other lawful methods as may be approved by the committee.</w:t>
      </w:r>
    </w:p>
    <w:p>
      <w:pPr>
        <w:spacing w:after="0" w:line="141" w:lineRule="exact"/>
        <w:rPr>
          <w:sz w:val="20"/>
          <w:szCs w:val="20"/>
          <w:color w:val="auto"/>
        </w:rPr>
      </w:pPr>
    </w:p>
    <w:p>
      <w:pPr>
        <w:ind w:right="280" w:firstLine="326"/>
        <w:spacing w:after="0" w:line="239" w:lineRule="auto"/>
        <w:rPr>
          <w:sz w:val="20"/>
          <w:szCs w:val="20"/>
          <w:color w:val="auto"/>
        </w:rPr>
      </w:pPr>
      <w:r>
        <w:rPr>
          <w:rFonts w:ascii="Arial" w:cs="Arial" w:eastAsia="Arial" w:hAnsi="Arial"/>
          <w:sz w:val="12"/>
          <w:szCs w:val="12"/>
          <w:color w:val="auto"/>
        </w:rPr>
        <w:t>Unless the committee provides otherwise, options generally are not transferable except by will and the laws of descent and distribution. The committee may, at or after the date of grant, provide that non-qualified stock options, restricted stock units, or shares of restricted stock be transferred to a family member, as such term is defined under the applicable securities laws.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Limitations on Incentive Stock Options</w:t>
      </w:r>
    </w:p>
    <w:p>
      <w:pPr>
        <w:spacing w:after="0" w:line="153"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aggregate fair market value, determined at the time of grant, of our common stock with respect to incentive stock options that are exercisable for the first time by an option holder during any calendar year may not exceed $100,000. Options or portions thereof that exceed such limit will generally be treated as nonstatutory stock options. No incentive stock option may be granted to any person who, at the time of the grant, owns or is deemed to own stock possessing more than 10% of our total combined voting power or that of any of our affiliates unless the option exercise price is at least 110% of the fair market value of the stock subject to the option on the date of grant, and the term of the incentive stock option does not exceed five years from the date of grant.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w:t>
      </w:r>
    </w:p>
    <w:p>
      <w:pPr>
        <w:spacing w:after="0" w:line="153" w:lineRule="exact"/>
        <w:rPr>
          <w:sz w:val="20"/>
          <w:szCs w:val="20"/>
          <w:color w:val="auto"/>
        </w:rPr>
      </w:pPr>
    </w:p>
    <w:p>
      <w:pPr>
        <w:ind w:right="100" w:firstLine="326"/>
        <w:spacing w:after="0" w:line="236" w:lineRule="auto"/>
        <w:rPr>
          <w:sz w:val="20"/>
          <w:szCs w:val="20"/>
          <w:color w:val="auto"/>
        </w:rPr>
      </w:pPr>
      <w:r>
        <w:rPr>
          <w:rFonts w:ascii="Arial" w:cs="Arial" w:eastAsia="Arial" w:hAnsi="Arial"/>
          <w:sz w:val="12"/>
          <w:szCs w:val="12"/>
          <w:color w:val="auto"/>
        </w:rPr>
        <w:t>Restricted stock is granted pursuant to restricted stock award agreements adopted by the committee. Restricted stock may be granted for a purchase price or other consideration, including cash, other property or services. The committee determines the consideration required, the restriction period, the vesting schedule, if any, the rights to acceleration of any vesting schedule, and all other terms and conditions of each restricted stock award. Common stock acquired under a restricted stock award may be subject to a share repurchase option in our favor in accordance with a vesting schedule to be determined by the committee. Unless otherwise provided in the 2015 Plan or the applicable award agreement, the award holder will have all of the rights of a stockholder (including the right to vote and the right to receive dividends) before lapse of the risk of forfeiture of an award of restricted stock. The committee may permit or require the payment of cash dividends to be deferred, and if the committee so determines, reinvested in additional restricted stock. Any risk of forfeiture may be waived or terminated, or the restriction period shortened, at any time by the committee at its discretion. Unless the committee determines otherwise, any unvested restricted stock award will be forfeited if the participant's employment or service is terminated for any reason.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Grants</w:t>
      </w:r>
    </w:p>
    <w:p>
      <w:pPr>
        <w:spacing w:after="0" w:line="153" w:lineRule="exact"/>
        <w:rPr>
          <w:sz w:val="20"/>
          <w:szCs w:val="20"/>
          <w:color w:val="auto"/>
        </w:rPr>
      </w:pPr>
    </w:p>
    <w:p>
      <w:pPr>
        <w:ind w:right="120" w:firstLine="323"/>
        <w:spacing w:after="0" w:line="239" w:lineRule="auto"/>
        <w:rPr>
          <w:sz w:val="20"/>
          <w:szCs w:val="20"/>
          <w:color w:val="auto"/>
        </w:rPr>
      </w:pPr>
      <w:r>
        <w:rPr>
          <w:rFonts w:ascii="Arial" w:cs="Arial" w:eastAsia="Arial" w:hAnsi="Arial"/>
          <w:sz w:val="12"/>
          <w:szCs w:val="12"/>
          <w:color w:val="auto"/>
        </w:rPr>
        <w:t>The committee may issue grants of common stock in lieu of compensation otherwise already due in the event that a participant significantly contributes to our success and in such other limited circumstances as the committee deems appropriate. Grants of common stock will have no forfeiture conditions of any kind.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153"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committee may grant RSUs to eligible participants. RSUs are phantom units that represent shares of our common stock. RSUs become payable on terms and conditions determined by the committee, and will be payable in cash or shares of our common stock, or a combination of the two, as determined by the committee. The committee may waive, terminate or shorten the restriction period applicable to RSUs. A participant has no rights as a stockholder unless and until the participants receives shares of common stock upon settlement of the RSUs. The committee may grant dividend equivalents in connection with RSUs. Dividend equivalents may be paid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35" w:name="page136"/>
    <w:bookmarkEnd w:id="13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currently or accrued as contingent cash obligations and may be payable in cash or shares of stock. All unvested RSUs are forfeited if the participant's employment or service is terminated for any reason, unless the committee determines otherwise.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Adjustments for Corporate Actions</w:t>
      </w:r>
    </w:p>
    <w:p>
      <w:pPr>
        <w:spacing w:after="0" w:line="153"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In the event that there is a specified type of change in our capital structure, such as a merger, stock split or recapitalization, appropriate and proportionate adjustments will be made to (i) the maximum number and kinds of shares that may be issued under the 2015 Plan, (ii) the number and kinds of shares or other securities subject to then outstanding awards, (iii) the exercise price for each share subject to outstanding options, (iv) the applicable market value of awards, and (v) the repurchase price of each share of restricted stock then subject to a risk of forfeiture in the form of a company repurchase right.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the event of a Transaction (defined below), the committee has the discretion to take any of the following actions with respect to awards under the 2015 Plan, subject to the terms of the applicable award agreement:</w:t>
      </w:r>
    </w:p>
    <w:p>
      <w:pPr>
        <w:spacing w:after="0" w:line="141" w:lineRule="exact"/>
        <w:rPr>
          <w:sz w:val="20"/>
          <w:szCs w:val="20"/>
          <w:color w:val="auto"/>
        </w:rPr>
      </w:pPr>
    </w:p>
    <w:p>
      <w:pPr>
        <w:ind w:left="720" w:hanging="368"/>
        <w:spacing w:after="0" w:line="264" w:lineRule="auto"/>
        <w:tabs>
          <w:tab w:leader="none" w:pos="720" w:val="left"/>
        </w:tabs>
        <w:numPr>
          <w:ilvl w:val="0"/>
          <w:numId w:val="73"/>
        </w:numPr>
        <w:rPr>
          <w:rFonts w:ascii="Arial" w:cs="Arial" w:eastAsia="Arial" w:hAnsi="Arial"/>
          <w:sz w:val="11"/>
          <w:szCs w:val="11"/>
          <w:color w:val="auto"/>
        </w:rPr>
      </w:pPr>
      <w:r>
        <w:rPr>
          <w:rFonts w:ascii="Arial" w:cs="Arial" w:eastAsia="Arial" w:hAnsi="Arial"/>
          <w:sz w:val="11"/>
          <w:szCs w:val="11"/>
          <w:i w:val="1"/>
          <w:iCs w:val="1"/>
          <w:color w:val="auto"/>
        </w:rPr>
        <w:t xml:space="preserve">Options. </w:t>
      </w:r>
      <w:r>
        <w:rPr>
          <w:rFonts w:ascii="Arial" w:cs="Arial" w:eastAsia="Arial" w:hAnsi="Arial"/>
          <w:sz w:val="11"/>
          <w:szCs w:val="11"/>
          <w:color w:val="auto"/>
        </w:rPr>
        <w:t>Upon a Transaction where we are not the surviving corporation (or survive only as a subsidiary of another corporation), unless the committee determines otherwise, all outstanding options that are</w:t>
      </w:r>
      <w:r>
        <w:rPr>
          <w:rFonts w:ascii="Arial" w:cs="Arial" w:eastAsia="Arial" w:hAnsi="Arial"/>
          <w:sz w:val="11"/>
          <w:szCs w:val="11"/>
          <w:i w:val="1"/>
          <w:iCs w:val="1"/>
          <w:color w:val="auto"/>
        </w:rPr>
        <w:t xml:space="preserve"> </w:t>
      </w:r>
      <w:r>
        <w:rPr>
          <w:rFonts w:ascii="Arial" w:cs="Arial" w:eastAsia="Arial" w:hAnsi="Arial"/>
          <w:sz w:val="11"/>
          <w:szCs w:val="11"/>
          <w:color w:val="auto"/>
        </w:rPr>
        <w:t>not exercised or paid at the time of the Transaction will be assumed, or substantially equivalent options will be substituted, by the surviving corporation. If a participant's employment is terminated by us without cause upon or within 12 months following a Transaction, 50% of the participant's outstanding and then-unvested options will become vested and exercisable, subject to the terms of the applicable award agreement. If all options are not assumed or substituted by the surviving corporation, the committee has the discretion to take any of the following actions with respect to any or all outstanding options without the option holder's consent: (1) after delivering notice to each participant, terminate outstanding options or require that exercisable options be exercised within a certain amount of time, (2) provide that outstanding options become exercisable in whole or in part prior to the Transaction, (3) provide for cash payments equal to the acquisition price multiplied by the number of shares subject to the options, less the aggregate exercise price and less any tax withholding, (4) provide that option holders receive the right to liquidation proceeds, or (5) any combination of the above.</w:t>
      </w:r>
    </w:p>
    <w:p>
      <w:pPr>
        <w:spacing w:after="0" w:line="115" w:lineRule="exact"/>
        <w:rPr>
          <w:rFonts w:ascii="Arial" w:cs="Arial" w:eastAsia="Arial" w:hAnsi="Arial"/>
          <w:sz w:val="11"/>
          <w:szCs w:val="11"/>
          <w:color w:val="auto"/>
        </w:rPr>
      </w:pPr>
    </w:p>
    <w:p>
      <w:pPr>
        <w:ind w:left="720" w:right="40" w:hanging="368"/>
        <w:spacing w:after="0" w:line="304" w:lineRule="auto"/>
        <w:tabs>
          <w:tab w:leader="none" w:pos="720" w:val="left"/>
        </w:tabs>
        <w:numPr>
          <w:ilvl w:val="0"/>
          <w:numId w:val="73"/>
        </w:numPr>
        <w:rPr>
          <w:rFonts w:ascii="Arial" w:cs="Arial" w:eastAsia="Arial" w:hAnsi="Arial"/>
          <w:sz w:val="11"/>
          <w:szCs w:val="11"/>
          <w:color w:val="auto"/>
        </w:rPr>
      </w:pPr>
      <w:r>
        <w:rPr>
          <w:rFonts w:ascii="Arial" w:cs="Arial" w:eastAsia="Arial" w:hAnsi="Arial"/>
          <w:sz w:val="11"/>
          <w:szCs w:val="11"/>
          <w:i w:val="1"/>
          <w:iCs w:val="1"/>
          <w:color w:val="auto"/>
        </w:rPr>
        <w:t xml:space="preserve">Restricted Stock. </w:t>
      </w:r>
      <w:r>
        <w:rPr>
          <w:rFonts w:ascii="Arial" w:cs="Arial" w:eastAsia="Arial" w:hAnsi="Arial"/>
          <w:sz w:val="11"/>
          <w:szCs w:val="11"/>
          <w:color w:val="auto"/>
        </w:rPr>
        <w:t>Upon a Transaction other than a liquidation or dissolution of the company, our repurchase and other rights under outstanding restricted stock awards will inure to the benefit of the successor</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and unless the committee determines otherwise, apply, in the same manner and to the same extent, to the cash, securities, or other property which the stock was converted into or exchanged for.</w:t>
      </w:r>
    </w:p>
    <w:p>
      <w:pPr>
        <w:spacing w:after="0" w:line="84" w:lineRule="exact"/>
        <w:rPr>
          <w:rFonts w:ascii="Arial" w:cs="Arial" w:eastAsia="Arial" w:hAnsi="Arial"/>
          <w:sz w:val="11"/>
          <w:szCs w:val="11"/>
          <w:color w:val="auto"/>
        </w:rPr>
      </w:pPr>
    </w:p>
    <w:p>
      <w:pPr>
        <w:ind w:left="720" w:right="180" w:hanging="368"/>
        <w:spacing w:after="0" w:line="241" w:lineRule="auto"/>
        <w:tabs>
          <w:tab w:leader="none" w:pos="720" w:val="left"/>
        </w:tabs>
        <w:numPr>
          <w:ilvl w:val="0"/>
          <w:numId w:val="73"/>
        </w:numPr>
        <w:rPr>
          <w:rFonts w:ascii="Arial" w:cs="Arial" w:eastAsia="Arial" w:hAnsi="Arial"/>
          <w:sz w:val="12"/>
          <w:szCs w:val="12"/>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In a Transaction, the committee may take any one or more of the following actions as to all or any outstanding restricted stock units: (1) provide that they become fully vested and</w:t>
      </w:r>
      <w:r>
        <w:rPr>
          <w:rFonts w:ascii="Arial" w:cs="Arial" w:eastAsia="Arial" w:hAnsi="Arial"/>
          <w:sz w:val="12"/>
          <w:szCs w:val="12"/>
          <w:i w:val="1"/>
          <w:iCs w:val="1"/>
          <w:color w:val="auto"/>
        </w:rPr>
        <w:t xml:space="preserve"> </w:t>
      </w:r>
      <w:r>
        <w:rPr>
          <w:rFonts w:ascii="Arial" w:cs="Arial" w:eastAsia="Arial" w:hAnsi="Arial"/>
          <w:sz w:val="12"/>
          <w:szCs w:val="12"/>
          <w:color w:val="auto"/>
        </w:rPr>
        <w:t>payable on terms determined by the committee; (2) provide that they be assumed (or substantially equivalent units be provided) by the successor company; (3) provide that outstanding unvested units be terminated without consideration; (4) provide for cash payments for fair value in exchange for the termination of vested units; (5) provide that units convert into the right to receive liquidation proceeds in the event of a liquidation or dissolution; or (6) any combination of the above. Restricted stock units will be considered assumed (or substantially equivalent units will be considered provided) if following the Transaction, the restricted stock units confer the right to receive, for each restricted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36" w:name="page137"/>
    <w:bookmarkEnd w:id="13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right="40"/>
        <w:spacing w:after="0" w:line="236" w:lineRule="auto"/>
        <w:rPr>
          <w:sz w:val="20"/>
          <w:szCs w:val="20"/>
          <w:color w:val="auto"/>
        </w:rPr>
      </w:pPr>
      <w:r>
        <w:rPr>
          <w:rFonts w:ascii="Arial" w:cs="Arial" w:eastAsia="Arial" w:hAnsi="Arial"/>
          <w:sz w:val="12"/>
          <w:szCs w:val="12"/>
          <w:color w:val="auto"/>
        </w:rPr>
        <w:t>unit immediately prior to the Transaction, the consideration received by holders of stock as a result of the Transaction. If holders of stock are offered a choice of consideration, the relevant consideration will be the type of consideration chosen by the holders of a majority of the outstanding shares of stock. In addition, if the consideration received as a result of the Transaction is not solely common stock (or its equivalent) of the acquiring or succeeding entity (or affiliate thereof), the committee may provide for the consideration to be received upon the settlement of restricted stock units to consist solely of common stock (or its equivalent) of the acquiring or succeeding entity (or an affiliate thereof) equivalent in value to the per share consideration received by holders of outstanding shares of stock as a result of the Transaction.</w:t>
      </w:r>
    </w:p>
    <w:p>
      <w:pPr>
        <w:spacing w:after="0" w:line="141" w:lineRule="exact"/>
        <w:rPr>
          <w:sz w:val="20"/>
          <w:szCs w:val="20"/>
          <w:color w:val="auto"/>
        </w:rPr>
      </w:pPr>
    </w:p>
    <w:p>
      <w:pPr>
        <w:jc w:val="both"/>
        <w:ind w:right="560" w:firstLine="326"/>
        <w:spacing w:after="0" w:line="237" w:lineRule="auto"/>
        <w:rPr>
          <w:sz w:val="20"/>
          <w:szCs w:val="20"/>
          <w:color w:val="auto"/>
        </w:rPr>
      </w:pPr>
      <w:r>
        <w:rPr>
          <w:rFonts w:ascii="Arial" w:cs="Arial" w:eastAsia="Arial" w:hAnsi="Arial"/>
          <w:sz w:val="12"/>
          <w:szCs w:val="12"/>
          <w:color w:val="auto"/>
        </w:rPr>
        <w:t>Under the 2015 Plan, a Transaction is generally (i) the acquisition by a person or entity of more than 50% of our combined voting power, (ii) a consummated merger or consolidation as a result of which our stockholders do not own, immediately after the event, shares entitled to more than 50% of the voting power of the surviving corporation, (iii) a sale or other disposition of all or substantially of our assets, or (iv) the dissolution or liquidation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Right of First Refusal; Repurchase Right</w:t>
      </w:r>
    </w:p>
    <w:p>
      <w:pPr>
        <w:spacing w:after="0" w:line="153" w:lineRule="exact"/>
        <w:rPr>
          <w:sz w:val="20"/>
          <w:szCs w:val="20"/>
          <w:color w:val="auto"/>
        </w:rPr>
      </w:pPr>
    </w:p>
    <w:p>
      <w:pPr>
        <w:ind w:right="240" w:firstLine="326"/>
        <w:spacing w:after="0" w:line="237" w:lineRule="auto"/>
        <w:rPr>
          <w:sz w:val="20"/>
          <w:szCs w:val="20"/>
          <w:color w:val="auto"/>
        </w:rPr>
      </w:pPr>
      <w:r>
        <w:rPr>
          <w:rFonts w:ascii="Arial" w:cs="Arial" w:eastAsia="Arial" w:hAnsi="Arial"/>
          <w:sz w:val="12"/>
          <w:szCs w:val="12"/>
          <w:color w:val="auto"/>
        </w:rPr>
        <w:t>Prior to our initial public offering, if the participant wishes to sell or otherwise dispose of shares of common stock that were distributed under the 2015 Plan, the individual must first offer (through a written notice describing the terms of the sale) the shares for sale to us, and we have the option to purchase the shares pursuant to the terms described in the written notice. If we do not exercise our right to purchase the shares, the participant will have the right to sell or otherwise dispose of the shares at the price and on the terms of transfer set forth in the prior written notice. Upon the participant's termination of employment or service, prior to our initial public offering, we have certain call rights with respect to our common stock distributed under the 2015 Plan. After our initial public offering, we have no further right to purchase shares.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 and Termination</w:t>
      </w:r>
    </w:p>
    <w:p>
      <w:pPr>
        <w:spacing w:after="0" w:line="153" w:lineRule="exact"/>
        <w:rPr>
          <w:sz w:val="20"/>
          <w:szCs w:val="20"/>
          <w:color w:val="auto"/>
        </w:rPr>
      </w:pPr>
    </w:p>
    <w:p>
      <w:pPr>
        <w:ind w:right="460" w:firstLine="326"/>
        <w:spacing w:after="0" w:line="239" w:lineRule="auto"/>
        <w:rPr>
          <w:sz w:val="20"/>
          <w:szCs w:val="20"/>
          <w:color w:val="auto"/>
        </w:rPr>
      </w:pPr>
      <w:r>
        <w:rPr>
          <w:rFonts w:ascii="Arial" w:cs="Arial" w:eastAsia="Arial" w:hAnsi="Arial"/>
          <w:sz w:val="12"/>
          <w:szCs w:val="12"/>
          <w:color w:val="auto"/>
        </w:rPr>
        <w:t>Our board of directors or the committee has the authority to amend, suspend, or terminate the 2015 Plan, provided that such action does not materially impair the existing rights of any participant without such participant's consent. The 2015 Plan will terminate on August 21, 2026, unless terminated earlier by the board or extended by the board with stockholder approval.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2006 Plan</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2006 Plan was, and options granted thereunder are, administered by our board of directors. The exercise price, which may not be less than 100% of fair market value of the underlying shares on the date of grant, and rate of exercisability of each option were determined by the board and specified in the applicable option award agreement. The term of each option was fixed by the board and does not exceed ten years from the date of grant. Our board of directors may accelerate any option in whole or in part at any time. Unless our board of directors determines otherwise, if the stock option holder's employment or association with us ends for any reason, the option will remain exercisable not later than 90 days after that event. While other types of awards were permitted under the 2006 Plan, only options were awarded under the 2006 Plan before it was merged into the 2015 Plan. Options generally are not transferable except by will and the laws of descent and distribution. Acceptable consideration for the purchase of common stock issued upon the exercise of a stock option is determined by the board and may include (i) cash or check, (ii) delivery of shares of stock to us with a value equal to the exercise price of the shares to be purchased, or (iii) delivery of a promissory note in the principal amount equal to the exercise price of the shares to be purchased.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37" w:name="page138"/>
    <w:bookmarkEnd w:id="13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Acquisitions</w:t>
      </w:r>
    </w:p>
    <w:p>
      <w:pPr>
        <w:spacing w:after="0" w:line="153" w:lineRule="exact"/>
        <w:rPr>
          <w:sz w:val="20"/>
          <w:szCs w:val="20"/>
          <w:color w:val="auto"/>
        </w:rPr>
      </w:pPr>
    </w:p>
    <w:p>
      <w:pPr>
        <w:jc w:val="both"/>
        <w:ind w:firstLine="326"/>
        <w:spacing w:after="0" w:line="237" w:lineRule="auto"/>
        <w:rPr>
          <w:sz w:val="20"/>
          <w:szCs w:val="20"/>
          <w:color w:val="auto"/>
        </w:rPr>
      </w:pPr>
      <w:r>
        <w:rPr>
          <w:rFonts w:ascii="Arial" w:cs="Arial" w:eastAsia="Arial" w:hAnsi="Arial"/>
          <w:sz w:val="12"/>
          <w:szCs w:val="12"/>
          <w:color w:val="auto"/>
        </w:rPr>
        <w:t>In the event of an acquisition, any then outstanding options will accelerate to the extent not assumed by the acquiring entity or replaced by comparable options, and will then, to the extent not exercised, terminate. If any outstanding options are not otherwise accelerated in full by reason of such an acquisition, either in advance of an acquisition or at the time of an acquisition, the 2006 Plan provides for the acceleration of options if the participant's employment is terminated following the acquisition.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Under the 2006 Plan, an acquisition means a merger or consolidation of the company into another person or the sale, transfer, or other disposition of all or substantially all of our assets.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Control</w:t>
      </w:r>
    </w:p>
    <w:p>
      <w:pPr>
        <w:spacing w:after="0" w:line="153"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Unless the award agreement provides for greater rights, in the event of a change in control (including a change in control which is an acquisition), any outstanding option not yet exercisable in full will vest under the terms of the option. This applies to options that are assumed by an acquiring entity or replaced with comparable options of a successor entity.</w:t>
      </w:r>
    </w:p>
    <w:p>
      <w:pPr>
        <w:spacing w:after="0" w:line="139"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Under the 2006 Plan, a change in control generally means (1) an acquisition (defined above) unless the holders of our voting shares immediately prior to the acquisition have more than 50% of the combined voting power of the securities of the successor entity or its parent entity after the acquisition, or (2) a person, entity or affiliated group acquires more than 50% of our total combined voting power.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Termination and Amendment</w:t>
      </w:r>
    </w:p>
    <w:p>
      <w:pPr>
        <w:spacing w:after="0" w:line="153"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Our board of directors may amend, modify or terminate any outstanding option, provided that no amendment or modification may materially impair any of the rights of a participant under any options previously granted without his or her consent.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Our named executive officers participate in our broad-based 401(k) savings plan offered to all our employees. In 2016, the plan did not require mandatory matching or profit sharing contributions, and therefore, we determined whether a discretionary match or other discretionary employer contribution should be made on an annual basis. If made, any discretionary matching contribution will be fully vested. If made, profit sharing contributions will vest in full after three years of service. Vesting is accelerated upon attainment of age 65, death, disability and termination of the plan. Effective July 1, 2017, we implemented a mandatory matching policy, whereby we will match 50% of an employee's contributions, up to a maximum of the lesser of (i) 6% of that employee's base salary, bonus and commissions paid during the period or (ii) $5,000. Mandatory matching contributions will be subject to vesting based on an employee's start date and length of service. Employees can designate the investment of their 401(k) accounts from among a broad range of mutual funds. We do not allow investment in our common stock through the 401(k) plan.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 on Liability and Indemnification Matters</w:t>
      </w:r>
    </w:p>
    <w:p>
      <w:pPr>
        <w:spacing w:after="0" w:line="155" w:lineRule="exact"/>
        <w:rPr>
          <w:sz w:val="20"/>
          <w:szCs w:val="20"/>
          <w:color w:val="auto"/>
        </w:rPr>
      </w:pPr>
    </w:p>
    <w:p>
      <w:pPr>
        <w:jc w:val="both"/>
        <w:ind w:right="260" w:firstLine="326"/>
        <w:spacing w:after="0" w:line="237" w:lineRule="auto"/>
        <w:rPr>
          <w:sz w:val="20"/>
          <w:szCs w:val="20"/>
          <w:color w:val="auto"/>
        </w:rPr>
      </w:pPr>
      <w:r>
        <w:rPr>
          <w:rFonts w:ascii="Arial" w:cs="Arial" w:eastAsia="Arial" w:hAnsi="Arial"/>
          <w:sz w:val="12"/>
          <w:szCs w:val="12"/>
          <w:color w:val="auto"/>
        </w:rPr>
        <w:t>Our amended and restated certificate of incorporation and amended and restated bylaws, each to be effective upon the closing of this offering,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141" w:lineRule="exact"/>
        <w:rPr>
          <w:sz w:val="20"/>
          <w:szCs w:val="20"/>
          <w:color w:val="auto"/>
        </w:rPr>
      </w:pPr>
    </w:p>
    <w:p>
      <w:pPr>
        <w:ind w:left="720" w:hanging="368"/>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any breach of the director's duty of loyalty to us or to our stockholders;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42" w:right="319" w:bottom="1440" w:gutter="0" w:footer="0" w:header="0"/>
        </w:sectPr>
      </w:pPr>
    </w:p>
    <w:bookmarkStart w:id="138" w:name="page139"/>
    <w:bookmarkEnd w:id="13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hanging="368"/>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acts or omissions not in good faith or that involve intentional misconduct or a knowing violation of law;</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unlawful payment of dividends or unlawful stock repurchases or redemptions;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any transaction from which the director derived an improper personal benefit.</w:t>
      </w:r>
    </w:p>
    <w:p>
      <w:pPr>
        <w:spacing w:after="0" w:line="141" w:lineRule="exact"/>
        <w:rPr>
          <w:sz w:val="20"/>
          <w:szCs w:val="20"/>
          <w:color w:val="auto"/>
        </w:rPr>
      </w:pPr>
    </w:p>
    <w:p>
      <w:pPr>
        <w:jc w:val="both"/>
        <w:ind w:right="80" w:firstLine="326"/>
        <w:spacing w:after="0" w:line="237" w:lineRule="auto"/>
        <w:rPr>
          <w:sz w:val="20"/>
          <w:szCs w:val="20"/>
          <w:color w:val="auto"/>
        </w:rPr>
      </w:pPr>
      <w:r>
        <w:rPr>
          <w:rFonts w:ascii="Arial" w:cs="Arial" w:eastAsia="Arial" w:hAnsi="Arial"/>
          <w:sz w:val="12"/>
          <w:szCs w:val="12"/>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In addition to the indemnification required in our amended and restated certificate of incorporation and amended and restated bylaws, we plan to enter into indemnification agreements with members of our board of directors and each of our officers before the closing of this offering. These agreements will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provisions in in our amended and restated certificate of incorporation and amended and restated bylaws and indemnification agreements are and will be necessary to attract and retain qualified persons as directors and officers.</w:t>
      </w:r>
    </w:p>
    <w:p>
      <w:pPr>
        <w:spacing w:after="0" w:line="140" w:lineRule="exact"/>
        <w:rPr>
          <w:sz w:val="20"/>
          <w:szCs w:val="20"/>
          <w:color w:val="auto"/>
        </w:rPr>
      </w:pPr>
    </w:p>
    <w:p>
      <w:pPr>
        <w:ind w:right="20" w:firstLine="323"/>
        <w:spacing w:after="0" w:line="236"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39" w:name="page140"/>
    <w:bookmarkEnd w:id="13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CERTAIN RELATIONSHIPS, RELATED PERSON, AND OTHER TRANSACTIONS</w:t>
      </w:r>
    </w:p>
    <w:p>
      <w:pPr>
        <w:spacing w:after="0" w:line="155"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In addition to the director and executive officer compensation arrangements discussed above in the sections titled "Management" and "Executive Compensation," the following is a description of each transaction since January 1, 2014 and each currently proposed transaction in which:</w:t>
      </w:r>
    </w:p>
    <w:p>
      <w:pPr>
        <w:spacing w:after="0" w:line="139" w:lineRule="exact"/>
        <w:rPr>
          <w:sz w:val="20"/>
          <w:szCs w:val="20"/>
          <w:color w:val="auto"/>
        </w:rPr>
      </w:pPr>
    </w:p>
    <w:p>
      <w:pPr>
        <w:ind w:left="720" w:hanging="368"/>
        <w:spacing w:after="0"/>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we have been or are to be a participant;</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amount involved exceeded or exceeds $120,000; and</w:t>
      </w:r>
    </w:p>
    <w:p>
      <w:pPr>
        <w:spacing w:after="0" w:line="132" w:lineRule="exact"/>
        <w:rPr>
          <w:rFonts w:ascii="Arial" w:cs="Arial" w:eastAsia="Arial" w:hAnsi="Arial"/>
          <w:sz w:val="12"/>
          <w:szCs w:val="12"/>
          <w:color w:val="auto"/>
        </w:rPr>
      </w:pPr>
    </w:p>
    <w:p>
      <w:pPr>
        <w:ind w:left="720" w:right="240" w:hanging="368"/>
        <w:spacing w:after="0" w:line="239" w:lineRule="auto"/>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39" w:lineRule="exact"/>
        <w:rPr>
          <w:sz w:val="20"/>
          <w:szCs w:val="20"/>
          <w:color w:val="auto"/>
        </w:rPr>
      </w:pPr>
    </w:p>
    <w:p>
      <w:pPr>
        <w:ind w:right="280" w:firstLine="323"/>
        <w:spacing w:after="0" w:line="237" w:lineRule="auto"/>
        <w:rPr>
          <w:sz w:val="20"/>
          <w:szCs w:val="20"/>
          <w:color w:val="auto"/>
        </w:rPr>
      </w:pPr>
      <w:r>
        <w:rPr>
          <w:rFonts w:ascii="Arial" w:cs="Arial" w:eastAsia="Arial" w:hAnsi="Arial"/>
          <w:sz w:val="12"/>
          <w:szCs w:val="12"/>
          <w:color w:val="auto"/>
        </w:rPr>
        <w:t>The information in this section titled "Certain Relationships, Related Person, and Other Transactions" does not assume the automatic conversion of all shares of our convertible preferred stock outstanding as of June 30, 2017 into 20,188,226 shares of our Class A common stock and 40,376,452 shares of our Class B common stock, which Class B common stock will subsequently convert into 40,376,452 shares of our Class A common stock, which conversions will occur upon the closing of this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E Preferred Stock Financing</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In August 2016, we sold and issued 1,107,202 shares of Series E preferred stock to funds related to Winslow Capital Management, LLC, Foxhaven Asset Management, LP, T. Rowe Price Associates, Inc., and Fidelity Brokerage Services LLC, which we refer to collectively as the Series E Purchasers, at a price of $54.19 per share, for an aggregate purchase price and gross proceeds to us of approximately $60 million. We refer to this financing as the Series E Financing. Funds affiliated with T. Rowe Price, a 5% or greater stockholder, purchased 276,800 shares of Series E preferred stock for an aggregate gross purchase price of approximately $15 million.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Transfers</w:t>
      </w:r>
    </w:p>
    <w:p>
      <w:pPr>
        <w:spacing w:after="0" w:line="155" w:lineRule="exact"/>
        <w:rPr>
          <w:sz w:val="20"/>
          <w:szCs w:val="20"/>
          <w:color w:val="auto"/>
        </w:rPr>
      </w:pPr>
    </w:p>
    <w:p>
      <w:pPr>
        <w:ind w:right="100" w:firstLine="326"/>
        <w:spacing w:after="0" w:line="264" w:lineRule="auto"/>
        <w:rPr>
          <w:sz w:val="20"/>
          <w:szCs w:val="20"/>
          <w:color w:val="auto"/>
        </w:rPr>
      </w:pPr>
      <w:r>
        <w:rPr>
          <w:rFonts w:ascii="Arial" w:cs="Arial" w:eastAsia="Arial" w:hAnsi="Arial"/>
          <w:sz w:val="11"/>
          <w:szCs w:val="11"/>
          <w:color w:val="auto"/>
        </w:rPr>
        <w:t>In December 2015, Argonaut 22 LLC, a holder of more than 5% of our capital stock and an entity with respect to which Anastasios Parafestas, one of our directors, has sole investment power, with our consent, transferred certain shares of our stock that it held of record to two transferees, Promerica Capital LLC and GC Holdings Investors LLC, pursuant to an Assignment Agreement, that was executed by us, Argonaut 22 LLC, and each transferee. Argonaut 22 LLC transferred the shares of capital stock described below in satisfaction of the redemption of Promerica Capital LLC's and GC Holdings Investors LLC's ownership interests in Argonaut 22 LLC. Anastasios Parafestas also has sole investment power with respect to each of Promerica Capital LLC and GC Holdings Investors LLC. The following table summarizes Argonaut 22 LLC's transfers of capital stock: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140" w:name="page141"/>
    <w:bookmarkEnd w:id="14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Value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2"/>
                <w:szCs w:val="12"/>
                <w:color w:val="auto"/>
                <w:w w:val="98"/>
              </w:rPr>
              <w:t>Aggregate Value</w:t>
            </w:r>
          </w:p>
        </w:tc>
      </w:tr>
      <w:tr>
        <w:trPr>
          <w:trHeight w:val="135"/>
        </w:trPr>
        <w:tc>
          <w:tcPr>
            <w:tcW w:w="7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tcPr>
          <w:p>
            <w:pPr>
              <w:jc w:val="center"/>
              <w:spacing w:after="0" w:line="135" w:lineRule="exact"/>
              <w:rPr>
                <w:sz w:val="20"/>
                <w:szCs w:val="20"/>
                <w:color w:val="auto"/>
              </w:rPr>
            </w:pPr>
            <w:r>
              <w:rPr>
                <w:rFonts w:ascii="Arial" w:cs="Arial" w:eastAsia="Arial" w:hAnsi="Arial"/>
                <w:sz w:val="12"/>
                <w:szCs w:val="12"/>
                <w:color w:val="auto"/>
                <w:w w:val="96"/>
              </w:rPr>
              <w:t>Class of Stock</w:t>
            </w:r>
          </w:p>
        </w:tc>
        <w:tc>
          <w:tcPr>
            <w:tcW w:w="120" w:type="dxa"/>
            <w:vAlign w:val="bottom"/>
          </w:tcPr>
          <w:p>
            <w:pPr>
              <w:spacing w:after="0"/>
              <w:rPr>
                <w:sz w:val="11"/>
                <w:szCs w:val="11"/>
                <w:color w:val="auto"/>
              </w:rPr>
            </w:pPr>
          </w:p>
        </w:tc>
        <w:tc>
          <w:tcPr>
            <w:tcW w:w="660" w:type="dxa"/>
            <w:vAlign w:val="bottom"/>
          </w:tcPr>
          <w:p>
            <w:pPr>
              <w:jc w:val="right"/>
              <w:ind w:right="61"/>
              <w:spacing w:after="0" w:line="135"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color w:val="auto"/>
                <w:w w:val="96"/>
              </w:rPr>
              <w:t>Transferred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7"/>
              </w:rPr>
              <w:t>of Shares</w:t>
            </w:r>
          </w:p>
        </w:tc>
      </w:tr>
      <w:tr>
        <w:trPr>
          <w:trHeight w:val="133"/>
        </w:trPr>
        <w:tc>
          <w:tcPr>
            <w:tcW w:w="328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Transferee</w:t>
            </w:r>
          </w:p>
        </w:tc>
        <w:tc>
          <w:tcPr>
            <w:tcW w:w="100" w:type="dxa"/>
            <w:vAlign w:val="bottom"/>
          </w:tcPr>
          <w:p>
            <w:pPr>
              <w:spacing w:after="0"/>
              <w:rPr>
                <w:sz w:val="11"/>
                <w:szCs w:val="11"/>
                <w:color w:val="auto"/>
              </w:rPr>
            </w:pPr>
          </w:p>
        </w:tc>
        <w:tc>
          <w:tcPr>
            <w:tcW w:w="270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Transferred</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Transferred</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Date of Transfer</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Transferred</w:t>
            </w:r>
          </w:p>
        </w:tc>
        <w:tc>
          <w:tcPr>
            <w:tcW w:w="120" w:type="dxa"/>
            <w:vAlign w:val="bottom"/>
          </w:tcPr>
          <w:p>
            <w:pPr>
              <w:spacing w:after="0"/>
              <w:rPr>
                <w:sz w:val="11"/>
                <w:szCs w:val="11"/>
                <w:color w:val="auto"/>
              </w:rPr>
            </w:pPr>
          </w:p>
        </w:tc>
      </w:tr>
      <w:tr>
        <w:trPr>
          <w:trHeight w:val="160"/>
        </w:trPr>
        <w:tc>
          <w:tcPr>
            <w:tcW w:w="3280" w:type="dxa"/>
            <w:vAlign w:val="bottom"/>
            <w:gridSpan w:val="2"/>
            <w:shd w:val="clear" w:color="auto" w:fill="CCEEFF"/>
          </w:tcPr>
          <w:p>
            <w:pPr>
              <w:spacing w:after="0" w:line="160" w:lineRule="exact"/>
              <w:rPr>
                <w:sz w:val="20"/>
                <w:szCs w:val="20"/>
                <w:color w:val="auto"/>
              </w:rPr>
            </w:pPr>
            <w:r>
              <w:rPr>
                <w:rFonts w:ascii="Arial" w:cs="Arial" w:eastAsia="Arial" w:hAnsi="Arial"/>
                <w:sz w:val="11"/>
                <w:szCs w:val="11"/>
                <w:color w:val="auto"/>
              </w:rPr>
              <w:t>Promerica Capital LLC</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3"/>
                <w:szCs w:val="1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Series A preferred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262,218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10,657,323</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gridSpan w:val="2"/>
          </w:tcPr>
          <w:p>
            <w:pPr>
              <w:spacing w:after="0" w:line="162" w:lineRule="exact"/>
              <w:rPr>
                <w:sz w:val="20"/>
                <w:szCs w:val="20"/>
                <w:color w:val="auto"/>
              </w:rPr>
            </w:pPr>
            <w:r>
              <w:rPr>
                <w:rFonts w:ascii="Arial" w:cs="Arial" w:eastAsia="Arial" w:hAnsi="Arial"/>
                <w:sz w:val="11"/>
                <w:szCs w:val="11"/>
                <w:color w:val="auto"/>
              </w:rPr>
              <w:t>Promerica Capital LLC</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2"/>
                <w:szCs w:val="12"/>
                <w:color w:val="auto"/>
                <w:w w:val="97"/>
              </w:rPr>
              <w:t>Series B preferred stock</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318,423</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12,941,662</w:t>
            </w:r>
          </w:p>
        </w:tc>
        <w:tc>
          <w:tcPr>
            <w:tcW w:w="120" w:type="dxa"/>
            <w:vAlign w:val="bottom"/>
          </w:tcPr>
          <w:p>
            <w:pPr>
              <w:spacing w:after="0"/>
              <w:rPr>
                <w:sz w:val="14"/>
                <w:szCs w:val="14"/>
                <w:color w:val="auto"/>
              </w:rPr>
            </w:pPr>
          </w:p>
        </w:tc>
      </w:tr>
      <w:tr>
        <w:trPr>
          <w:trHeight w:val="162"/>
        </w:trPr>
        <w:tc>
          <w:tcPr>
            <w:tcW w:w="328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Promerica Capital LLC</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Series C preferred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234,302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9,522,734</w:t>
            </w:r>
          </w:p>
        </w:tc>
        <w:tc>
          <w:tcPr>
            <w:tcW w:w="120" w:type="dxa"/>
            <w:vAlign w:val="bottom"/>
            <w:shd w:val="clear" w:color="auto" w:fill="CCEEFF"/>
          </w:tcPr>
          <w:p>
            <w:pPr>
              <w:spacing w:after="0"/>
              <w:rPr>
                <w:sz w:val="14"/>
                <w:szCs w:val="14"/>
                <w:color w:val="auto"/>
              </w:rPr>
            </w:pPr>
          </w:p>
        </w:tc>
      </w:tr>
      <w:tr>
        <w:trPr>
          <w:trHeight w:val="162"/>
        </w:trPr>
        <w:tc>
          <w:tcPr>
            <w:tcW w:w="3280" w:type="dxa"/>
            <w:vAlign w:val="bottom"/>
            <w:gridSpan w:val="2"/>
          </w:tcPr>
          <w:p>
            <w:pPr>
              <w:spacing w:after="0" w:line="162" w:lineRule="exact"/>
              <w:rPr>
                <w:sz w:val="20"/>
                <w:szCs w:val="20"/>
                <w:color w:val="auto"/>
              </w:rPr>
            </w:pPr>
            <w:r>
              <w:rPr>
                <w:rFonts w:ascii="Arial" w:cs="Arial" w:eastAsia="Arial" w:hAnsi="Arial"/>
                <w:sz w:val="11"/>
                <w:szCs w:val="11"/>
                <w:color w:val="auto"/>
              </w:rPr>
              <w:t>GC Holdings Investors LLC</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2"/>
                <w:szCs w:val="12"/>
                <w:color w:val="auto"/>
                <w:w w:val="97"/>
              </w:rPr>
              <w:t>Series A preferred stock</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262,218</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10,657,323</w:t>
            </w:r>
          </w:p>
        </w:tc>
        <w:tc>
          <w:tcPr>
            <w:tcW w:w="120" w:type="dxa"/>
            <w:vAlign w:val="bottom"/>
          </w:tcPr>
          <w:p>
            <w:pPr>
              <w:spacing w:after="0"/>
              <w:rPr>
                <w:sz w:val="14"/>
                <w:szCs w:val="14"/>
                <w:color w:val="auto"/>
              </w:rPr>
            </w:pPr>
          </w:p>
        </w:tc>
      </w:tr>
      <w:tr>
        <w:trPr>
          <w:trHeight w:val="162"/>
        </w:trPr>
        <w:tc>
          <w:tcPr>
            <w:tcW w:w="328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GC Holdings Investors LLC</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Series B preferred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318,423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12,941,662</w:t>
            </w:r>
          </w:p>
        </w:tc>
        <w:tc>
          <w:tcPr>
            <w:tcW w:w="120" w:type="dxa"/>
            <w:vAlign w:val="bottom"/>
            <w:shd w:val="clear" w:color="auto" w:fill="CCEEFF"/>
          </w:tcPr>
          <w:p>
            <w:pPr>
              <w:spacing w:after="0"/>
              <w:rPr>
                <w:sz w:val="14"/>
                <w:szCs w:val="14"/>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2"/>
                <w:szCs w:val="12"/>
                <w:color w:val="auto"/>
              </w:rPr>
              <w:t>GC Holdings Investors LLC</w:t>
            </w:r>
            <w:r>
              <w:rPr>
                <w:rFonts w:ascii="Arial" w:cs="Arial" w:eastAsia="Arial" w:hAnsi="Arial"/>
                <w:sz w:val="19"/>
                <w:szCs w:val="19"/>
                <w:color w:val="auto"/>
                <w:vertAlign w:val="superscript"/>
              </w:rPr>
              <w:t>(2)</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2"/>
                <w:szCs w:val="12"/>
                <w:color w:val="auto"/>
                <w:w w:val="97"/>
              </w:rPr>
              <w:t>Series C preferred stock</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103,661</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40.64</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4,213,092</w:t>
            </w:r>
          </w:p>
        </w:tc>
        <w:tc>
          <w:tcPr>
            <w:tcW w:w="120" w:type="dxa"/>
            <w:vAlign w:val="bottom"/>
          </w:tcPr>
          <w:p>
            <w:pPr>
              <w:spacing w:after="0"/>
              <w:rPr>
                <w:sz w:val="20"/>
                <w:szCs w:val="20"/>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ind w:left="1500" w:hanging="360"/>
        <w:spacing w:after="0"/>
        <w:tabs>
          <w:tab w:leader="none" w:pos="1500" w:val="left"/>
        </w:tabs>
        <w:numPr>
          <w:ilvl w:val="0"/>
          <w:numId w:val="77"/>
        </w:numPr>
        <w:rPr>
          <w:rFonts w:ascii="Arial" w:cs="Arial" w:eastAsia="Arial" w:hAnsi="Arial"/>
          <w:sz w:val="14"/>
          <w:szCs w:val="14"/>
          <w:color w:val="auto"/>
          <w:vertAlign w:val="superscript"/>
        </w:rPr>
      </w:pPr>
      <w:r>
        <w:rPr>
          <w:rFonts w:ascii="Arial" w:cs="Arial" w:eastAsia="Arial" w:hAnsi="Arial"/>
          <w:sz w:val="10"/>
          <w:szCs w:val="10"/>
          <w:color w:val="auto"/>
        </w:rPr>
        <w:t>Peter M Nicholas, the uncle-in-law of Langley Steinert, is the general partner of the parent entity of Promerica Capital LLC.</w:t>
      </w:r>
    </w:p>
    <w:p>
      <w:pPr>
        <w:spacing w:after="0" w:line="101" w:lineRule="exact"/>
        <w:rPr>
          <w:rFonts w:ascii="Arial" w:cs="Arial" w:eastAsia="Arial" w:hAnsi="Arial"/>
          <w:sz w:val="14"/>
          <w:szCs w:val="14"/>
          <w:color w:val="auto"/>
          <w:vertAlign w:val="superscript"/>
        </w:rPr>
      </w:pPr>
    </w:p>
    <w:p>
      <w:pPr>
        <w:ind w:left="1500" w:right="120" w:hanging="360"/>
        <w:spacing w:after="0" w:line="193" w:lineRule="auto"/>
        <w:tabs>
          <w:tab w:leader="none" w:pos="1500" w:val="left"/>
        </w:tabs>
        <w:numPr>
          <w:ilvl w:val="0"/>
          <w:numId w:val="77"/>
        </w:numPr>
        <w:rPr>
          <w:rFonts w:ascii="Arial" w:cs="Arial" w:eastAsia="Arial" w:hAnsi="Arial"/>
          <w:sz w:val="14"/>
          <w:szCs w:val="14"/>
          <w:color w:val="auto"/>
          <w:vertAlign w:val="superscript"/>
        </w:rPr>
      </w:pPr>
      <w:r>
        <w:rPr>
          <w:rFonts w:ascii="Arial" w:cs="Arial" w:eastAsia="Arial" w:hAnsi="Arial"/>
          <w:sz w:val="10"/>
          <w:szCs w:val="10"/>
          <w:color w:val="auto"/>
        </w:rPr>
        <w:t>Gore Creek Trust, or the Trust, is an investor through GC Holdings Investors LLC. Nick Nicholas, Langley Steinert's father-in-law, was the grantor with respect to the Trust. Hilary Steinert, Langley Steinert's wife, is a beneficiary of the Trust.</w:t>
      </w:r>
    </w:p>
    <w:p>
      <w:pPr>
        <w:spacing w:after="0" w:line="137" w:lineRule="exact"/>
        <w:rPr>
          <w:sz w:val="20"/>
          <w:szCs w:val="20"/>
          <w:color w:val="auto"/>
        </w:rPr>
      </w:pPr>
    </w:p>
    <w:p>
      <w:pPr>
        <w:jc w:val="both"/>
        <w:ind w:right="80" w:firstLine="326"/>
        <w:spacing w:after="0" w:line="237" w:lineRule="auto"/>
        <w:rPr>
          <w:sz w:val="20"/>
          <w:szCs w:val="20"/>
          <w:color w:val="auto"/>
        </w:rPr>
      </w:pPr>
      <w:r>
        <w:rPr>
          <w:rFonts w:ascii="Arial" w:cs="Arial" w:eastAsia="Arial" w:hAnsi="Arial"/>
          <w:sz w:val="12"/>
          <w:szCs w:val="12"/>
          <w:color w:val="auto"/>
        </w:rPr>
        <w:t>In September 2016, Langley Steinert, our Chief Executive Officer, President, Chairman, and a holder of more than 5% of our capital stock, with our consent, transferred certain shares of our stock that he held as an individual to two transferees pursuant to Stock Transfer and Assignment Agreements that were executed by us, Mr. Steinert, and the applicable transferee. The following table summarizes Mr. Steinert's transfers of capital stock:</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Value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2"/>
                <w:szCs w:val="12"/>
                <w:color w:val="auto"/>
                <w:w w:val="98"/>
              </w:rPr>
              <w:t>Aggregate Value</w:t>
            </w:r>
          </w:p>
        </w:tc>
      </w:tr>
      <w:tr>
        <w:trPr>
          <w:trHeight w:val="135"/>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2"/>
                <w:szCs w:val="12"/>
                <w:color w:val="auto"/>
                <w:w w:val="99"/>
              </w:rPr>
              <w:t>Class of Stock</w:t>
            </w:r>
          </w:p>
        </w:tc>
        <w:tc>
          <w:tcPr>
            <w:tcW w:w="120" w:type="dxa"/>
            <w:vAlign w:val="bottom"/>
          </w:tcPr>
          <w:p>
            <w:pPr>
              <w:spacing w:after="0"/>
              <w:rPr>
                <w:sz w:val="11"/>
                <w:szCs w:val="11"/>
                <w:color w:val="auto"/>
              </w:rPr>
            </w:pPr>
          </w:p>
        </w:tc>
        <w:tc>
          <w:tcPr>
            <w:tcW w:w="660" w:type="dxa"/>
            <w:vAlign w:val="bottom"/>
          </w:tcPr>
          <w:p>
            <w:pPr>
              <w:jc w:val="right"/>
              <w:ind w:right="61"/>
              <w:spacing w:after="0" w:line="135"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color w:val="auto"/>
                <w:w w:val="96"/>
              </w:rPr>
              <w:t>Transferred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7"/>
              </w:rPr>
              <w:t>of Shares</w:t>
            </w:r>
          </w:p>
        </w:tc>
      </w:tr>
      <w:tr>
        <w:trPr>
          <w:trHeight w:val="133"/>
        </w:trPr>
        <w:tc>
          <w:tcPr>
            <w:tcW w:w="34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Transferee</w:t>
            </w:r>
          </w:p>
        </w:tc>
        <w:tc>
          <w:tcPr>
            <w:tcW w:w="120" w:type="dxa"/>
            <w:vAlign w:val="bottom"/>
          </w:tcPr>
          <w:p>
            <w:pPr>
              <w:spacing w:after="0"/>
              <w:rPr>
                <w:sz w:val="11"/>
                <w:szCs w:val="11"/>
                <w:color w:val="auto"/>
              </w:rPr>
            </w:pPr>
          </w:p>
        </w:tc>
        <w:tc>
          <w:tcPr>
            <w:tcW w:w="256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Transferred</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Transferred</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Date of Transfer</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Transferred</w:t>
            </w:r>
          </w:p>
        </w:tc>
        <w:tc>
          <w:tcPr>
            <w:tcW w:w="120" w:type="dxa"/>
            <w:vAlign w:val="bottom"/>
          </w:tcPr>
          <w:p>
            <w:pPr>
              <w:spacing w:after="0"/>
              <w:rPr>
                <w:sz w:val="11"/>
                <w:szCs w:val="11"/>
                <w:color w:val="auto"/>
              </w:rPr>
            </w:pPr>
          </w:p>
        </w:tc>
      </w:tr>
      <w:tr>
        <w:trPr>
          <w:trHeight w:val="133"/>
        </w:trPr>
        <w:tc>
          <w:tcPr>
            <w:tcW w:w="3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Trustees of Dartmouth College</w:t>
            </w:r>
          </w:p>
        </w:tc>
        <w:tc>
          <w:tcPr>
            <w:tcW w:w="120" w:type="dxa"/>
            <w:vAlign w:val="bottom"/>
            <w:shd w:val="clear" w:color="auto" w:fill="CCEEFF"/>
          </w:tcPr>
          <w:p>
            <w:pPr>
              <w:spacing w:after="0"/>
              <w:rPr>
                <w:sz w:val="11"/>
                <w:szCs w:val="11"/>
                <w:color w:val="auto"/>
              </w:rPr>
            </w:pPr>
          </w:p>
        </w:tc>
        <w:tc>
          <w:tcPr>
            <w:tcW w:w="25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6"/>
              </w:rPr>
              <w:t>Class A common stock</w:t>
            </w:r>
          </w:p>
        </w:tc>
        <w:tc>
          <w:tcPr>
            <w:tcW w:w="7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18,454</w:t>
            </w:r>
          </w:p>
        </w:tc>
        <w:tc>
          <w:tcPr>
            <w:tcW w:w="2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9.03</w:t>
            </w:r>
          </w:p>
        </w:tc>
        <w:tc>
          <w:tcPr>
            <w:tcW w:w="2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166,627</w:t>
            </w:r>
          </w:p>
        </w:tc>
        <w:tc>
          <w:tcPr>
            <w:tcW w:w="120" w:type="dxa"/>
            <w:vAlign w:val="bottom"/>
            <w:shd w:val="clear" w:color="auto" w:fill="CCEEFF"/>
          </w:tcPr>
          <w:p>
            <w:pPr>
              <w:spacing w:after="0"/>
              <w:rPr>
                <w:sz w:val="11"/>
                <w:szCs w:val="1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2"/>
                <w:szCs w:val="12"/>
                <w:color w:val="auto"/>
              </w:rPr>
              <w:t>Trustees of Dartmouth College</w:t>
            </w:r>
          </w:p>
        </w:tc>
        <w:tc>
          <w:tcPr>
            <w:tcW w:w="120" w:type="dxa"/>
            <w:vAlign w:val="bottom"/>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2"/>
                <w:szCs w:val="12"/>
                <w:color w:val="auto"/>
                <w:w w:val="98"/>
              </w:rPr>
              <w:t>Class B common stock</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36,908</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9.03</w:t>
            </w:r>
          </w:p>
        </w:tc>
        <w:tc>
          <w:tcPr>
            <w:tcW w:w="2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333,345</w:t>
            </w:r>
          </w:p>
        </w:tc>
        <w:tc>
          <w:tcPr>
            <w:tcW w:w="120" w:type="dxa"/>
            <w:vAlign w:val="bottom"/>
          </w:tcPr>
          <w:p>
            <w:pPr>
              <w:spacing w:after="0"/>
              <w:rPr>
                <w:sz w:val="11"/>
                <w:szCs w:val="1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National Philanthropic Trust</w:t>
            </w:r>
          </w:p>
        </w:tc>
        <w:tc>
          <w:tcPr>
            <w:tcW w:w="120" w:type="dxa"/>
            <w:vAlign w:val="bottom"/>
            <w:shd w:val="clear" w:color="auto" w:fill="CCEEFF"/>
          </w:tcPr>
          <w:p>
            <w:pPr>
              <w:spacing w:after="0"/>
              <w:rPr>
                <w:sz w:val="11"/>
                <w:szCs w:val="11"/>
                <w:color w:val="auto"/>
              </w:rPr>
            </w:pPr>
          </w:p>
        </w:tc>
        <w:tc>
          <w:tcPr>
            <w:tcW w:w="2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Class A common stock</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36,906</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9.03</w:t>
            </w:r>
          </w:p>
        </w:tc>
        <w:tc>
          <w:tcPr>
            <w:tcW w:w="2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333,327</w:t>
            </w:r>
          </w:p>
        </w:tc>
        <w:tc>
          <w:tcPr>
            <w:tcW w:w="120" w:type="dxa"/>
            <w:vAlign w:val="bottom"/>
            <w:shd w:val="clear" w:color="auto" w:fill="CCEEFF"/>
          </w:tcPr>
          <w:p>
            <w:pPr>
              <w:spacing w:after="0"/>
              <w:rPr>
                <w:sz w:val="11"/>
                <w:szCs w:val="1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2"/>
                <w:szCs w:val="12"/>
                <w:color w:val="auto"/>
              </w:rPr>
              <w:t>National Philanthropic Trust</w:t>
            </w:r>
          </w:p>
        </w:tc>
        <w:tc>
          <w:tcPr>
            <w:tcW w:w="12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Arial" w:cs="Arial" w:eastAsia="Arial" w:hAnsi="Arial"/>
                <w:sz w:val="12"/>
                <w:szCs w:val="12"/>
                <w:color w:val="auto"/>
                <w:w w:val="98"/>
              </w:rPr>
              <w:t>Class B common stock</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73,812</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9.03</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666,653</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Repurchases of Our Securities</w:t>
      </w:r>
    </w:p>
    <w:p>
      <w:pPr>
        <w:spacing w:after="0" w:line="155" w:lineRule="exact"/>
        <w:rPr>
          <w:sz w:val="20"/>
          <w:szCs w:val="20"/>
          <w:color w:val="auto"/>
        </w:rPr>
      </w:pPr>
    </w:p>
    <w:p>
      <w:pPr>
        <w:ind w:firstLine="326"/>
        <w:spacing w:after="0" w:line="264" w:lineRule="auto"/>
        <w:rPr>
          <w:sz w:val="20"/>
          <w:szCs w:val="20"/>
          <w:color w:val="auto"/>
        </w:rPr>
      </w:pPr>
      <w:r>
        <w:rPr>
          <w:rFonts w:ascii="Arial" w:cs="Arial" w:eastAsia="Arial" w:hAnsi="Arial"/>
          <w:sz w:val="11"/>
          <w:szCs w:val="11"/>
          <w:color w:val="auto"/>
        </w:rPr>
        <w:t>In September 2015, following the sale of 1,673,105 shares of our Series D preferred stock to 17 accredited investors at a purchase price of $40.642989 per share, we repurchased from certain stockholders, including a director, executive officer, and holders of more than 5% of our capital stock, an aggregate of 667,480 shares of our capital stock, including (i) 283,394 shares of our Series A preferred stock, (ii) 33,443 shares of our Series B preferred stock, (iii) 81,123 shares of our Series C preferred stock, (iv) 64,556 shares of our Class A common stock and 129,112 shares of our Class B common stock, and (v) 25,284 shares of Class A common stock and 50,568 shares of Class B common stock underlying vested, but unexercised options, at a purchase price of $6.77 per share of common stock and $40.64 per share of preferred stock, for an aggregate purchase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41" w:name="page142"/>
    <w:bookmarkEnd w:id="14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price of approximately $18 million. The following table summarizes our purchases of shares of preferred stock in the tender offer from related persons in amounts in excess of $120,000:</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Gross Dollar</w:t>
            </w: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8"/>
              </w:rPr>
              <w:t>Amount of</w:t>
            </w: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jc w:val="center"/>
              <w:spacing w:after="0" w:line="135" w:lineRule="exact"/>
              <w:rPr>
                <w:sz w:val="20"/>
                <w:szCs w:val="20"/>
                <w:color w:val="auto"/>
              </w:rPr>
            </w:pPr>
            <w:r>
              <w:rPr>
                <w:rFonts w:ascii="Arial" w:cs="Arial" w:eastAsia="Arial" w:hAnsi="Arial"/>
                <w:sz w:val="12"/>
                <w:szCs w:val="12"/>
                <w:color w:val="auto"/>
                <w:w w:val="96"/>
              </w:rPr>
              <w:t>Relationship</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7"/>
              </w:rPr>
              <w:t>Total</w:t>
            </w: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jc w:val="center"/>
              <w:spacing w:after="0" w:line="135" w:lineRule="exact"/>
              <w:rPr>
                <w:sz w:val="20"/>
                <w:szCs w:val="20"/>
                <w:color w:val="auto"/>
              </w:rPr>
            </w:pPr>
            <w:r>
              <w:rPr>
                <w:rFonts w:ascii="Arial" w:cs="Arial" w:eastAsia="Arial" w:hAnsi="Arial"/>
                <w:sz w:val="12"/>
                <w:szCs w:val="12"/>
                <w:color w:val="auto"/>
                <w:w w:val="96"/>
              </w:rPr>
              <w:t>of Holder to</w:t>
            </w:r>
          </w:p>
        </w:tc>
        <w:tc>
          <w:tcPr>
            <w:tcW w:w="100" w:type="dxa"/>
            <w:vAlign w:val="bottom"/>
          </w:tcPr>
          <w:p>
            <w:pPr>
              <w:spacing w:after="0"/>
              <w:rPr>
                <w:sz w:val="11"/>
                <w:szCs w:val="11"/>
                <w:color w:val="auto"/>
              </w:rPr>
            </w:pPr>
          </w:p>
        </w:tc>
        <w:tc>
          <w:tcPr>
            <w:tcW w:w="940" w:type="dxa"/>
            <w:vAlign w:val="bottom"/>
          </w:tcPr>
          <w:p>
            <w:pPr>
              <w:jc w:val="center"/>
              <w:ind w:left="1"/>
              <w:spacing w:after="0" w:line="135" w:lineRule="exact"/>
              <w:rPr>
                <w:sz w:val="20"/>
                <w:szCs w:val="20"/>
                <w:color w:val="auto"/>
              </w:rPr>
            </w:pPr>
            <w:r>
              <w:rPr>
                <w:rFonts w:ascii="Arial" w:cs="Arial" w:eastAsia="Arial" w:hAnsi="Arial"/>
                <w:sz w:val="12"/>
                <w:szCs w:val="12"/>
                <w:color w:val="auto"/>
                <w:w w:val="97"/>
              </w:rPr>
              <w:t>Total Number of</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auto"/>
                <w:w w:val="95"/>
              </w:rPr>
              <w:t>Repurchase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8"/>
              </w:rPr>
              <w:t>Number</w:t>
            </w: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jc w:val="center"/>
              <w:spacing w:after="0" w:line="135" w:lineRule="exact"/>
              <w:rPr>
                <w:sz w:val="20"/>
                <w:szCs w:val="20"/>
                <w:color w:val="auto"/>
              </w:rPr>
            </w:pPr>
            <w:r>
              <w:rPr>
                <w:rFonts w:ascii="Arial" w:cs="Arial" w:eastAsia="Arial" w:hAnsi="Arial"/>
                <w:sz w:val="12"/>
                <w:szCs w:val="12"/>
                <w:color w:val="auto"/>
                <w:w w:val="95"/>
              </w:rPr>
              <w:t>the</w:t>
            </w:r>
          </w:p>
        </w:tc>
        <w:tc>
          <w:tcPr>
            <w:tcW w:w="100" w:type="dxa"/>
            <w:vAlign w:val="bottom"/>
          </w:tcPr>
          <w:p>
            <w:pPr>
              <w:spacing w:after="0"/>
              <w:rPr>
                <w:sz w:val="11"/>
                <w:szCs w:val="11"/>
                <w:color w:val="auto"/>
              </w:rPr>
            </w:pPr>
          </w:p>
        </w:tc>
        <w:tc>
          <w:tcPr>
            <w:tcW w:w="940" w:type="dxa"/>
            <w:vAlign w:val="bottom"/>
          </w:tcPr>
          <w:p>
            <w:pPr>
              <w:jc w:val="center"/>
              <w:ind w:left="1"/>
              <w:spacing w:after="0" w:line="135" w:lineRule="exact"/>
              <w:rPr>
                <w:sz w:val="20"/>
                <w:szCs w:val="20"/>
                <w:color w:val="auto"/>
              </w:rPr>
            </w:pPr>
            <w:r>
              <w:rPr>
                <w:rFonts w:ascii="Arial" w:cs="Arial" w:eastAsia="Arial" w:hAnsi="Arial"/>
                <w:sz w:val="12"/>
                <w:szCs w:val="12"/>
                <w:color w:val="auto"/>
                <w:w w:val="94"/>
              </w:rPr>
              <w:t>Shares</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2"/>
                <w:szCs w:val="12"/>
                <w:color w:val="auto"/>
                <w:w w:val="99"/>
              </w:rPr>
              <w:t>Class of 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color w:val="auto"/>
                <w:w w:val="97"/>
              </w:rPr>
              <w:t>Price Per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9"/>
              </w:rPr>
              <w:t>Shares</w:t>
            </w:r>
          </w:p>
        </w:tc>
      </w:tr>
      <w:tr>
        <w:trPr>
          <w:trHeight w:val="133"/>
        </w:trPr>
        <w:tc>
          <w:tcPr>
            <w:tcW w:w="11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Name of Holder</w:t>
            </w:r>
          </w:p>
        </w:tc>
        <w:tc>
          <w:tcPr>
            <w:tcW w:w="100" w:type="dxa"/>
            <w:vAlign w:val="bottom"/>
          </w:tcPr>
          <w:p>
            <w:pPr>
              <w:spacing w:after="0"/>
              <w:rPr>
                <w:sz w:val="11"/>
                <w:szCs w:val="11"/>
                <w:color w:val="auto"/>
              </w:rPr>
            </w:pPr>
          </w:p>
        </w:tc>
        <w:tc>
          <w:tcPr>
            <w:tcW w:w="388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Company</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center"/>
              <w:ind w:left="1"/>
              <w:spacing w:after="0" w:line="133" w:lineRule="exact"/>
              <w:rPr>
                <w:sz w:val="20"/>
                <w:szCs w:val="20"/>
                <w:color w:val="auto"/>
              </w:rPr>
            </w:pPr>
            <w:r>
              <w:rPr>
                <w:rFonts w:ascii="Arial" w:cs="Arial" w:eastAsia="Arial" w:hAnsi="Arial"/>
                <w:sz w:val="12"/>
                <w:szCs w:val="12"/>
                <w:color w:val="auto"/>
                <w:w w:val="95"/>
              </w:rPr>
              <w:t>Repurchased</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8"/>
              </w:rPr>
              <w:t>Repurchased</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Share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Tendered</w:t>
            </w:r>
          </w:p>
        </w:tc>
        <w:tc>
          <w:tcPr>
            <w:tcW w:w="100" w:type="dxa"/>
            <w:vAlign w:val="bottom"/>
          </w:tcPr>
          <w:p>
            <w:pPr>
              <w:spacing w:after="0"/>
              <w:rPr>
                <w:sz w:val="11"/>
                <w:szCs w:val="11"/>
                <w:color w:val="auto"/>
              </w:rPr>
            </w:pPr>
          </w:p>
        </w:tc>
      </w:tr>
      <w:tr>
        <w:trPr>
          <w:trHeight w:val="135"/>
        </w:trPr>
        <w:tc>
          <w:tcPr>
            <w:tcW w:w="1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Allen &amp;</w:t>
            </w:r>
          </w:p>
        </w:tc>
        <w:tc>
          <w:tcPr>
            <w:tcW w:w="100" w:type="dxa"/>
            <w:vAlign w:val="bottom"/>
            <w:shd w:val="clear" w:color="auto" w:fill="CCEEFF"/>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Series A preferred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11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Company LLC</w:t>
            </w:r>
          </w:p>
        </w:tc>
        <w:tc>
          <w:tcPr>
            <w:tcW w:w="39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More than 5% stockholder</w:t>
            </w:r>
          </w:p>
        </w:tc>
        <w:tc>
          <w:tcPr>
            <w:tcW w:w="10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246,044</w:t>
            </w:r>
          </w:p>
        </w:tc>
        <w:tc>
          <w:tcPr>
            <w:tcW w:w="134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40.64</w:t>
            </w:r>
          </w:p>
        </w:tc>
        <w:tc>
          <w:tcPr>
            <w:tcW w:w="1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9,999,964</w:t>
            </w:r>
          </w:p>
        </w:tc>
        <w:tc>
          <w:tcPr>
            <w:tcW w:w="100" w:type="dxa"/>
            <w:vAlign w:val="bottom"/>
            <w:shd w:val="clear" w:color="auto" w:fill="CCEEFF"/>
          </w:tcPr>
          <w:p>
            <w:pPr>
              <w:spacing w:after="0"/>
              <w:rPr>
                <w:sz w:val="11"/>
                <w:szCs w:val="11"/>
                <w:color w:val="auto"/>
              </w:rPr>
            </w:pPr>
          </w:p>
        </w:tc>
      </w:tr>
      <w:tr>
        <w:trPr>
          <w:trHeight w:val="137"/>
        </w:trPr>
        <w:tc>
          <w:tcPr>
            <w:tcW w:w="1140" w:type="dxa"/>
            <w:vAlign w:val="bottom"/>
          </w:tcPr>
          <w:p>
            <w:pPr>
              <w:spacing w:after="0"/>
              <w:rPr>
                <w:sz w:val="20"/>
                <w:szCs w:val="20"/>
                <w:color w:val="auto"/>
              </w:rPr>
            </w:pPr>
            <w:r>
              <w:rPr>
                <w:rFonts w:ascii="Arial" w:cs="Arial" w:eastAsia="Arial" w:hAnsi="Arial"/>
                <w:sz w:val="12"/>
                <w:szCs w:val="12"/>
                <w:color w:val="auto"/>
              </w:rPr>
              <w:t>Langley Steinert</w:t>
            </w:r>
          </w:p>
        </w:tc>
        <w:tc>
          <w:tcPr>
            <w:tcW w:w="3980" w:type="dxa"/>
            <w:vAlign w:val="bottom"/>
            <w:gridSpan w:val="2"/>
          </w:tcPr>
          <w:p>
            <w:pPr>
              <w:ind w:left="100"/>
              <w:spacing w:after="0"/>
              <w:rPr>
                <w:sz w:val="20"/>
                <w:szCs w:val="20"/>
                <w:color w:val="auto"/>
              </w:rPr>
            </w:pPr>
            <w:r>
              <w:rPr>
                <w:rFonts w:ascii="Arial" w:cs="Arial" w:eastAsia="Arial" w:hAnsi="Arial"/>
                <w:sz w:val="12"/>
                <w:szCs w:val="12"/>
                <w:color w:val="auto"/>
              </w:rPr>
              <w:t>Chief Executive Officer, President, Chairman, and more than</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2"/>
                <w:szCs w:val="12"/>
                <w:color w:val="auto"/>
              </w:rPr>
              <w:t>Series C preferred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1140" w:type="dxa"/>
            <w:vAlign w:val="bottom"/>
          </w:tcPr>
          <w:p>
            <w:pPr>
              <w:spacing w:after="0"/>
              <w:rPr>
                <w:sz w:val="12"/>
                <w:szCs w:val="12"/>
                <w:color w:val="auto"/>
              </w:rPr>
            </w:pPr>
          </w:p>
        </w:tc>
        <w:tc>
          <w:tcPr>
            <w:tcW w:w="3980" w:type="dxa"/>
            <w:vAlign w:val="bottom"/>
            <w:gridSpan w:val="2"/>
          </w:tcPr>
          <w:p>
            <w:pPr>
              <w:ind w:left="100"/>
              <w:spacing w:after="0"/>
              <w:rPr>
                <w:sz w:val="20"/>
                <w:szCs w:val="20"/>
                <w:color w:val="auto"/>
              </w:rPr>
            </w:pPr>
            <w:r>
              <w:rPr>
                <w:rFonts w:ascii="Arial" w:cs="Arial" w:eastAsia="Arial" w:hAnsi="Arial"/>
                <w:sz w:val="12"/>
                <w:szCs w:val="12"/>
                <w:color w:val="auto"/>
              </w:rPr>
              <w:t>5% stockholder</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73,813</w:t>
            </w:r>
          </w:p>
        </w:tc>
        <w:tc>
          <w:tcPr>
            <w:tcW w:w="1340" w:type="dxa"/>
            <w:vAlign w:val="bottom"/>
            <w:gridSpan w:val="2"/>
          </w:tcPr>
          <w:p>
            <w:pPr>
              <w:ind w:left="100"/>
              <w:spacing w:after="0"/>
              <w:rPr>
                <w:sz w:val="20"/>
                <w:szCs w:val="20"/>
                <w:color w:val="auto"/>
              </w:rPr>
            </w:pPr>
            <w:r>
              <w:rPr>
                <w:rFonts w:ascii="Arial" w:cs="Arial" w:eastAsia="Arial" w:hAnsi="Arial"/>
                <w:sz w:val="12"/>
                <w:szCs w:val="12"/>
                <w:color w:val="auto"/>
              </w:rPr>
              <w:t>stock</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40.64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2,999,981</w:t>
            </w:r>
          </w:p>
        </w:tc>
        <w:tc>
          <w:tcPr>
            <w:tcW w:w="100" w:type="dxa"/>
            <w:vAlign w:val="bottom"/>
          </w:tcPr>
          <w:p>
            <w:pPr>
              <w:spacing w:after="0"/>
              <w:rPr>
                <w:sz w:val="12"/>
                <w:szCs w:val="12"/>
                <w:color w:val="auto"/>
              </w:rPr>
            </w:pPr>
          </w:p>
        </w:tc>
      </w:tr>
    </w:tbl>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In October 2016, following the Series E Financing, we repurchased from certain stockholders, including directors, executive officers, and holders of more than 5% of our capital stock, an aggregate of 3,644,642 shares of our capital stock, including (i) 224,903 shares of our Series A preferred stock, (ii) 357,568 shares of our Series B preferred stock, (iii) 17,243 shares of our Series C preferred stock, (iv) 899,046 shares of our Class A common stock and 1,798,092 shares of our Class B common stock, (v) 113,030 shares of Class A common stock and 226,060 shares of Class B common stock underlying vested, but unexercised options, and (vi) 2,900 shares of Class A common stock and 5,800 shares of Class B common stock underlying time-vested RSUs, at a purchase price of $9.03 per share of common stock and $54.19 per share of preferred stock, for an aggregate purchase price of approximately $60 million. The following table summarizes our purchases of shares of common stock, preferred stock, and cancellations of options in the tender offer from related persons in amounts in excess of $120,000:</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42" w:name="page143"/>
    <w:bookmarkEnd w:id="14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Gross</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5"/>
              </w:rPr>
              <w:t>Dollar</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8"/>
              </w:rPr>
              <w:t>Amount of</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jc w:val="center"/>
              <w:spacing w:after="0" w:line="135" w:lineRule="exact"/>
              <w:rPr>
                <w:sz w:val="20"/>
                <w:szCs w:val="20"/>
                <w:color w:val="auto"/>
              </w:rPr>
            </w:pPr>
            <w:r>
              <w:rPr>
                <w:rFonts w:ascii="Arial" w:cs="Arial" w:eastAsia="Arial" w:hAnsi="Arial"/>
                <w:sz w:val="12"/>
                <w:szCs w:val="12"/>
                <w:color w:val="auto"/>
                <w:w w:val="96"/>
              </w:rPr>
              <w:t>Relationship</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color w:val="auto"/>
                <w:w w:val="96"/>
              </w:rPr>
              <w:t>Total Number</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color w:val="auto"/>
                <w:w w:val="96"/>
              </w:rPr>
              <w:t>Class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color w:val="auto"/>
                <w:w w:val="98"/>
              </w:rPr>
              <w:t>Repurchase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8"/>
              </w:rPr>
              <w:t>Number</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jc w:val="center"/>
              <w:spacing w:after="0" w:line="135" w:lineRule="exact"/>
              <w:rPr>
                <w:sz w:val="20"/>
                <w:szCs w:val="20"/>
                <w:color w:val="auto"/>
              </w:rPr>
            </w:pPr>
            <w:r>
              <w:rPr>
                <w:rFonts w:ascii="Arial" w:cs="Arial" w:eastAsia="Arial" w:hAnsi="Arial"/>
                <w:sz w:val="12"/>
                <w:szCs w:val="12"/>
                <w:color w:val="auto"/>
                <w:w w:val="96"/>
              </w:rPr>
              <w:t>of Holder to</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color w:val="auto"/>
                <w:w w:val="97"/>
              </w:rPr>
              <w:t>of Shares</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color w:val="auto"/>
                <w:w w:val="99"/>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color w:val="auto"/>
                <w:w w:val="97"/>
              </w:rPr>
              <w:t>Price Per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9"/>
              </w:rPr>
              <w:t>Shares</w:t>
            </w:r>
          </w:p>
        </w:tc>
        <w:tc>
          <w:tcPr>
            <w:tcW w:w="0" w:type="dxa"/>
            <w:vAlign w:val="bottom"/>
          </w:tcPr>
          <w:p>
            <w:pPr>
              <w:spacing w:after="0"/>
              <w:rPr>
                <w:sz w:val="1"/>
                <w:szCs w:val="1"/>
                <w:color w:val="auto"/>
              </w:rPr>
            </w:pPr>
          </w:p>
        </w:tc>
      </w:tr>
      <w:tr>
        <w:trPr>
          <w:trHeight w:val="133"/>
        </w:trPr>
        <w:tc>
          <w:tcPr>
            <w:tcW w:w="25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of Holder</w:t>
            </w:r>
          </w:p>
        </w:tc>
        <w:tc>
          <w:tcPr>
            <w:tcW w:w="120" w:type="dxa"/>
            <w:vAlign w:val="bottom"/>
          </w:tcPr>
          <w:p>
            <w:pPr>
              <w:spacing w:after="0"/>
              <w:rPr>
                <w:sz w:val="11"/>
                <w:szCs w:val="11"/>
                <w:color w:val="auto"/>
              </w:rPr>
            </w:pPr>
          </w:p>
        </w:tc>
        <w:tc>
          <w:tcPr>
            <w:tcW w:w="290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8"/>
              </w:rPr>
              <w:t>the Company</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8"/>
              </w:rPr>
              <w:t>Repurchased</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8"/>
              </w:rPr>
              <w:t>Repurchased</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Share</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Tendered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Allen &amp; Company LLC</w:t>
            </w:r>
          </w:p>
        </w:tc>
        <w:tc>
          <w:tcPr>
            <w:tcW w:w="1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Series A</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More than 5% stockholder</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105,178</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5,699,664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Argonaut 22 LLC</w:t>
            </w:r>
          </w:p>
        </w:tc>
        <w:tc>
          <w:tcPr>
            <w:tcW w:w="3020" w:type="dxa"/>
            <w:vAlign w:val="bottom"/>
            <w:gridSpan w:val="2"/>
            <w:vMerge w:val="restart"/>
          </w:tcPr>
          <w:p>
            <w:pPr>
              <w:ind w:left="100"/>
              <w:spacing w:after="0"/>
              <w:rPr>
                <w:sz w:val="20"/>
                <w:szCs w:val="20"/>
                <w:color w:val="auto"/>
              </w:rPr>
            </w:pPr>
            <w:r>
              <w:rPr>
                <w:rFonts w:ascii="Arial" w:cs="Arial" w:eastAsia="Arial" w:hAnsi="Arial"/>
                <w:sz w:val="12"/>
                <w:szCs w:val="12"/>
                <w:color w:val="auto"/>
              </w:rPr>
              <w:t>More than 5% stockholder</w:t>
            </w:r>
            <w:r>
              <w:rPr>
                <w:rFonts w:ascii="Arial" w:cs="Arial" w:eastAsia="Arial" w:hAnsi="Arial"/>
                <w:sz w:val="19"/>
                <w:szCs w:val="19"/>
                <w:color w:val="auto"/>
                <w:vertAlign w:val="superscript"/>
              </w:rPr>
              <w:t>(2)</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rPr>
              <w:t>Series B</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gridSpan w:val="2"/>
            <w:vMerge w:val="continue"/>
          </w:tcPr>
          <w:p>
            <w:pPr>
              <w:spacing w:after="0"/>
              <w:rPr>
                <w:sz w:val="11"/>
                <w:szCs w:val="11"/>
                <w:color w:val="auto"/>
              </w:rPr>
            </w:pP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172,230</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9,333,256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GC Holdings Investors LLC</w:t>
            </w:r>
          </w:p>
        </w:tc>
        <w:tc>
          <w:tcPr>
            <w:tcW w:w="3020" w:type="dxa"/>
            <w:vAlign w:val="bottom"/>
            <w:gridSpan w:val="2"/>
            <w:vMerge w:val="restart"/>
            <w:shd w:val="clear" w:color="auto" w:fill="CCEEFF"/>
          </w:tcPr>
          <w:p>
            <w:pPr>
              <w:ind w:left="54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Series B</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41,287</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2,237,369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Promerica Capital LLC</w:t>
            </w:r>
          </w:p>
        </w:tc>
        <w:tc>
          <w:tcPr>
            <w:tcW w:w="3020" w:type="dxa"/>
            <w:vAlign w:val="bottom"/>
            <w:gridSpan w:val="2"/>
            <w:vMerge w:val="restart"/>
          </w:tcPr>
          <w:p>
            <w:pPr>
              <w:ind w:left="540"/>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rPr>
              <w:t>Series B</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gridSpan w:val="2"/>
            <w:vMerge w:val="continue"/>
          </w:tcPr>
          <w:p>
            <w:pPr>
              <w:spacing w:after="0"/>
              <w:rPr>
                <w:sz w:val="11"/>
                <w:szCs w:val="11"/>
                <w:color w:val="auto"/>
              </w:rPr>
            </w:pP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50,942</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2,760,547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line="137" w:lineRule="exact"/>
              <w:rPr>
                <w:sz w:val="20"/>
                <w:szCs w:val="20"/>
                <w:color w:val="auto"/>
              </w:rPr>
            </w:pPr>
            <w:r>
              <w:rPr>
                <w:rFonts w:ascii="Arial" w:cs="Arial" w:eastAsia="Arial" w:hAnsi="Arial"/>
                <w:sz w:val="10"/>
                <w:szCs w:val="10"/>
                <w:color w:val="auto"/>
              </w:rPr>
              <w:t>NP 2003 Family Trust</w:t>
            </w:r>
            <w:r>
              <w:rPr>
                <w:rFonts w:ascii="Arial" w:cs="Arial" w:eastAsia="Arial" w:hAnsi="Arial"/>
                <w:sz w:val="15"/>
                <w:szCs w:val="15"/>
                <w:color w:val="auto"/>
                <w:vertAlign w:val="superscript"/>
              </w:rPr>
              <w:t>(5)</w:t>
            </w:r>
          </w:p>
        </w:tc>
        <w:tc>
          <w:tcPr>
            <w:tcW w:w="3020" w:type="dxa"/>
            <w:vAlign w:val="bottom"/>
            <w:gridSpan w:val="2"/>
            <w:vMerge w:val="restart"/>
            <w:shd w:val="clear" w:color="auto" w:fill="CCEEFF"/>
          </w:tcPr>
          <w:p>
            <w:pPr>
              <w:ind w:left="540"/>
              <w:spacing w:after="0"/>
              <w:rPr>
                <w:sz w:val="20"/>
                <w:szCs w:val="20"/>
                <w:color w:val="auto"/>
              </w:rPr>
            </w:pPr>
            <w:r>
              <w:rPr>
                <w:rFonts w:ascii="Arial" w:cs="Arial" w:eastAsia="Arial" w:hAnsi="Arial"/>
                <w:sz w:val="10"/>
                <w:szCs w:val="10"/>
                <w:color w:val="auto"/>
              </w:rPr>
              <w:t>(6)</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28,000</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Series B</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54.19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1,517,320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Ian Smith</w:t>
            </w: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rPr>
              <w:t>Series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Director</w:t>
            </w: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13,187</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714,604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Ian Smith</w:t>
            </w:r>
          </w:p>
        </w:tc>
        <w:tc>
          <w:tcPr>
            <w:tcW w:w="1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Series B</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Director</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18,438</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preferred 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54.19</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999,155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Ian Smith</w:t>
            </w: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w w:val="99"/>
              </w:rPr>
              <w:t>Class A 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Director</w:t>
            </w: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6,280</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56,708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Ian Smith</w:t>
            </w:r>
          </w:p>
        </w:tc>
        <w:tc>
          <w:tcPr>
            <w:tcW w:w="1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9"/>
              </w:rPr>
              <w:t>Class B common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Director</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12,560</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113,417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Langley Steinert</w:t>
            </w:r>
          </w:p>
        </w:tc>
        <w:tc>
          <w:tcPr>
            <w:tcW w:w="3020" w:type="dxa"/>
            <w:vAlign w:val="bottom"/>
            <w:gridSpan w:val="2"/>
          </w:tcPr>
          <w:p>
            <w:pPr>
              <w:ind w:left="100"/>
              <w:spacing w:after="0"/>
              <w:rPr>
                <w:sz w:val="20"/>
                <w:szCs w:val="20"/>
                <w:color w:val="auto"/>
              </w:rPr>
            </w:pPr>
            <w:r>
              <w:rPr>
                <w:rFonts w:ascii="Arial" w:cs="Arial" w:eastAsia="Arial" w:hAnsi="Arial"/>
                <w:sz w:val="12"/>
                <w:szCs w:val="12"/>
                <w:color w:val="auto"/>
                <w:w w:val="98"/>
              </w:rPr>
              <w:t>Chief Executive Officer, President, Chairman, and more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w w:val="99"/>
              </w:rPr>
              <w:t>Class A 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than 5% stockholder</w:t>
            </w: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629,366</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5,684,292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Langley Steinert</w:t>
            </w: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8"/>
              </w:rPr>
              <w:t>Chief Executive Officer, President, Chairman, and more</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9"/>
              </w:rPr>
              <w:t>Class B common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than 5% stockholder</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1,258,732</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11,368,584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line="137" w:lineRule="exact"/>
              <w:rPr>
                <w:sz w:val="20"/>
                <w:szCs w:val="20"/>
                <w:color w:val="auto"/>
              </w:rPr>
            </w:pPr>
            <w:r>
              <w:rPr>
                <w:rFonts w:ascii="Arial" w:cs="Arial" w:eastAsia="Arial" w:hAnsi="Arial"/>
                <w:sz w:val="12"/>
                <w:szCs w:val="12"/>
                <w:color w:val="auto"/>
              </w:rPr>
              <w:t>Samuel Zales</w:t>
            </w: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line="137" w:lineRule="exact"/>
              <w:rPr>
                <w:sz w:val="20"/>
                <w:szCs w:val="20"/>
                <w:color w:val="auto"/>
              </w:rPr>
            </w:pPr>
            <w:r>
              <w:rPr>
                <w:rFonts w:ascii="Arial" w:cs="Arial" w:eastAsia="Arial" w:hAnsi="Arial"/>
                <w:sz w:val="12"/>
                <w:szCs w:val="12"/>
                <w:color w:val="auto"/>
                <w:w w:val="99"/>
              </w:rPr>
              <w:t>Class A 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20" w:type="dxa"/>
            <w:vAlign w:val="bottom"/>
            <w:gridSpan w:val="2"/>
          </w:tcPr>
          <w:p>
            <w:pPr>
              <w:ind w:left="100"/>
              <w:spacing w:after="0"/>
              <w:rPr>
                <w:sz w:val="20"/>
                <w:szCs w:val="20"/>
                <w:color w:val="auto"/>
              </w:rPr>
            </w:pPr>
            <w:r>
              <w:rPr>
                <w:rFonts w:ascii="Arial" w:cs="Arial" w:eastAsia="Arial" w:hAnsi="Arial"/>
                <w:sz w:val="12"/>
                <w:szCs w:val="12"/>
                <w:color w:val="auto"/>
              </w:rPr>
              <w:t>Chief Operating Officer</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7,284</w:t>
            </w:r>
          </w:p>
        </w:tc>
        <w:tc>
          <w:tcPr>
            <w:tcW w:w="1040" w:type="dxa"/>
            <w:vAlign w:val="bottom"/>
            <w:gridSpan w:val="2"/>
          </w:tcPr>
          <w:p>
            <w:pPr>
              <w:ind w:left="120"/>
              <w:spacing w:after="0" w:line="160" w:lineRule="exact"/>
              <w:rPr>
                <w:sz w:val="20"/>
                <w:szCs w:val="20"/>
                <w:color w:val="auto"/>
              </w:rPr>
            </w:pPr>
            <w:r>
              <w:rPr>
                <w:rFonts w:ascii="Arial" w:cs="Arial" w:eastAsia="Arial" w:hAnsi="Arial"/>
                <w:sz w:val="11"/>
                <w:szCs w:val="11"/>
                <w:color w:val="auto"/>
              </w:rPr>
              <w:t>stock</w:t>
            </w:r>
            <w:r>
              <w:rPr>
                <w:rFonts w:ascii="Arial" w:cs="Arial" w:eastAsia="Arial" w:hAnsi="Arial"/>
                <w:sz w:val="18"/>
                <w:szCs w:val="18"/>
                <w:color w:val="auto"/>
                <w:vertAlign w:val="superscript"/>
              </w:rPr>
              <w:t>(1)</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9.03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65,787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Samuel Zales</w:t>
            </w:r>
          </w:p>
        </w:tc>
        <w:tc>
          <w:tcPr>
            <w:tcW w:w="1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w w:val="99"/>
              </w:rPr>
              <w:t>Class B common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Chief Operating Officer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14,568</w:t>
            </w:r>
          </w:p>
        </w:tc>
        <w:tc>
          <w:tcPr>
            <w:tcW w:w="1040" w:type="dxa"/>
            <w:vAlign w:val="bottom"/>
            <w:gridSpan w:val="2"/>
            <w:shd w:val="clear" w:color="auto" w:fill="CCEEFF"/>
          </w:tcPr>
          <w:p>
            <w:pPr>
              <w:ind w:left="120"/>
              <w:spacing w:after="0" w:line="160" w:lineRule="exact"/>
              <w:rPr>
                <w:sz w:val="20"/>
                <w:szCs w:val="20"/>
                <w:color w:val="auto"/>
              </w:rPr>
            </w:pPr>
            <w:r>
              <w:rPr>
                <w:rFonts w:ascii="Arial" w:cs="Arial" w:eastAsia="Arial" w:hAnsi="Arial"/>
                <w:sz w:val="11"/>
                <w:szCs w:val="11"/>
                <w:color w:val="auto"/>
              </w:rPr>
              <w:t>stock</w:t>
            </w:r>
            <w:r>
              <w:rPr>
                <w:rFonts w:ascii="Arial" w:cs="Arial" w:eastAsia="Arial" w:hAnsi="Arial"/>
                <w:sz w:val="18"/>
                <w:szCs w:val="18"/>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rPr>
                <w:sz w:val="20"/>
                <w:szCs w:val="20"/>
                <w:color w:val="auto"/>
              </w:rPr>
            </w:pPr>
            <w:r>
              <w:rPr>
                <w:rFonts w:ascii="Arial" w:cs="Arial" w:eastAsia="Arial" w:hAnsi="Arial"/>
                <w:sz w:val="12"/>
                <w:szCs w:val="12"/>
                <w:color w:val="auto"/>
              </w:rPr>
              <w:t>The Langley Steinert Irrevocable Family Trust</w:t>
            </w:r>
          </w:p>
        </w:tc>
        <w:tc>
          <w:tcPr>
            <w:tcW w:w="1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color w:val="auto"/>
                <w:w w:val="99"/>
              </w:rPr>
              <w:t>Class A 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dated June 21, 2004</w:t>
            </w:r>
          </w:p>
        </w:tc>
        <w:tc>
          <w:tcPr>
            <w:tcW w:w="3020" w:type="dxa"/>
            <w:vAlign w:val="bottom"/>
            <w:gridSpan w:val="2"/>
          </w:tcPr>
          <w:p>
            <w:pPr>
              <w:ind w:left="100"/>
              <w:spacing w:after="0" w:line="133" w:lineRule="exact"/>
              <w:rPr>
                <w:sz w:val="20"/>
                <w:szCs w:val="20"/>
                <w:color w:val="auto"/>
              </w:rPr>
            </w:pPr>
            <w:r>
              <w:rPr>
                <w:rFonts w:ascii="Arial" w:cs="Arial" w:eastAsia="Arial" w:hAnsi="Arial"/>
                <w:sz w:val="12"/>
                <w:szCs w:val="12"/>
                <w:color w:val="auto"/>
                <w:w w:val="98"/>
              </w:rPr>
              <w:t>Beneficiaries of the trust are Langley Steinert's children</w:t>
            </w: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50,632</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457,297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 Langley Steinert Irrevocable Family Trust</w:t>
            </w:r>
          </w:p>
        </w:tc>
        <w:tc>
          <w:tcPr>
            <w:tcW w:w="12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9"/>
              </w:rPr>
              <w:t>Class B common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4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dated June 21, 2004</w:t>
            </w:r>
          </w:p>
        </w:tc>
        <w:tc>
          <w:tcPr>
            <w:tcW w:w="30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w w:val="98"/>
              </w:rPr>
              <w:t>Beneficiaries of the trust are Langley Steinert's children</w:t>
            </w:r>
          </w:p>
        </w:tc>
        <w:tc>
          <w:tcPr>
            <w:tcW w:w="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101,264</w:t>
            </w:r>
          </w:p>
        </w:tc>
        <w:tc>
          <w:tcPr>
            <w:tcW w:w="104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9.03</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914,594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500" w:hanging="360"/>
        <w:spacing w:after="0"/>
        <w:tabs>
          <w:tab w:leader="none" w:pos="1500" w:val="left"/>
        </w:tabs>
        <w:numPr>
          <w:ilvl w:val="0"/>
          <w:numId w:val="78"/>
        </w:numPr>
        <w:rPr>
          <w:rFonts w:ascii="Arial" w:cs="Arial" w:eastAsia="Arial" w:hAnsi="Arial"/>
          <w:sz w:val="14"/>
          <w:szCs w:val="14"/>
          <w:color w:val="auto"/>
          <w:vertAlign w:val="superscript"/>
        </w:rPr>
      </w:pPr>
      <w:r>
        <w:rPr>
          <w:rFonts w:ascii="Arial" w:cs="Arial" w:eastAsia="Arial" w:hAnsi="Arial"/>
          <w:sz w:val="10"/>
          <w:szCs w:val="10"/>
          <w:color w:val="auto"/>
        </w:rPr>
        <w:t>Represents shares underlying vested options to purchase Class A and Class B common stock.</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00"/>
          </w:cols>
          <w:pgMar w:left="220" w:top="142" w:right="1379" w:bottom="1440" w:gutter="0" w:footer="0" w:header="0"/>
        </w:sectPr>
      </w:pPr>
    </w:p>
    <w:bookmarkStart w:id="143" w:name="page144"/>
    <w:bookmarkEnd w:id="14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96" w:lineRule="exact"/>
        <w:rPr>
          <w:sz w:val="20"/>
          <w:szCs w:val="20"/>
          <w:color w:val="auto"/>
        </w:rPr>
      </w:pPr>
    </w:p>
    <w:p>
      <w:pPr>
        <w:ind w:left="1500" w:hanging="360"/>
        <w:spacing w:after="0"/>
        <w:tabs>
          <w:tab w:leader="none" w:pos="1500" w:val="left"/>
        </w:tabs>
        <w:numPr>
          <w:ilvl w:val="0"/>
          <w:numId w:val="79"/>
        </w:numPr>
        <w:rPr>
          <w:rFonts w:ascii="Arial" w:cs="Arial" w:eastAsia="Arial" w:hAnsi="Arial"/>
          <w:sz w:val="14"/>
          <w:szCs w:val="14"/>
          <w:color w:val="auto"/>
          <w:vertAlign w:val="superscript"/>
        </w:rPr>
      </w:pPr>
      <w:r>
        <w:rPr>
          <w:rFonts w:ascii="Arial" w:cs="Arial" w:eastAsia="Arial" w:hAnsi="Arial"/>
          <w:sz w:val="10"/>
          <w:szCs w:val="10"/>
          <w:color w:val="auto"/>
        </w:rPr>
        <w:t>Anastasios Parafestas has sole investment power with respect to shares held by Argonaut 22 LLC.</w:t>
      </w:r>
    </w:p>
    <w:p>
      <w:pPr>
        <w:spacing w:after="0" w:line="101" w:lineRule="exact"/>
        <w:rPr>
          <w:rFonts w:ascii="Arial" w:cs="Arial" w:eastAsia="Arial" w:hAnsi="Arial"/>
          <w:sz w:val="14"/>
          <w:szCs w:val="14"/>
          <w:color w:val="auto"/>
          <w:vertAlign w:val="superscript"/>
        </w:rPr>
      </w:pPr>
    </w:p>
    <w:p>
      <w:pPr>
        <w:ind w:left="1500" w:right="140" w:hanging="360"/>
        <w:spacing w:after="0" w:line="193" w:lineRule="auto"/>
        <w:tabs>
          <w:tab w:leader="none" w:pos="1500" w:val="left"/>
        </w:tabs>
        <w:numPr>
          <w:ilvl w:val="0"/>
          <w:numId w:val="79"/>
        </w:numPr>
        <w:rPr>
          <w:rFonts w:ascii="Arial" w:cs="Arial" w:eastAsia="Arial" w:hAnsi="Arial"/>
          <w:sz w:val="14"/>
          <w:szCs w:val="14"/>
          <w:color w:val="auto"/>
          <w:vertAlign w:val="superscript"/>
        </w:rPr>
      </w:pPr>
      <w:r>
        <w:rPr>
          <w:rFonts w:ascii="Arial" w:cs="Arial" w:eastAsia="Arial" w:hAnsi="Arial"/>
          <w:sz w:val="10"/>
          <w:szCs w:val="10"/>
          <w:color w:val="auto"/>
        </w:rPr>
        <w:t>Gore Creek Trust, or the Trust, is an investor through GC Holdings Investors LLC. Nick Nicholas, Langley Steinert's father-in-law, was the grantor with respect to the Trust. Hilary Steinert, Langley Steinert's wife, is a beneficiary of the Trust. Anastasios Parafestas has sole investment power with respect to shares held by GC Holdings Investors LLC.</w:t>
      </w:r>
    </w:p>
    <w:p>
      <w:pPr>
        <w:spacing w:after="0" w:line="67"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79"/>
        </w:numPr>
        <w:rPr>
          <w:rFonts w:ascii="Arial" w:cs="Arial" w:eastAsia="Arial" w:hAnsi="Arial"/>
          <w:sz w:val="13"/>
          <w:szCs w:val="13"/>
          <w:color w:val="auto"/>
          <w:vertAlign w:val="superscript"/>
        </w:rPr>
      </w:pPr>
      <w:r>
        <w:rPr>
          <w:rFonts w:ascii="Arial" w:cs="Arial" w:eastAsia="Arial" w:hAnsi="Arial"/>
          <w:sz w:val="9"/>
          <w:szCs w:val="9"/>
          <w:color w:val="auto"/>
        </w:rPr>
        <w:t>Anastasios Parafestas has sole investment power with respect to shares held by Promerica Capital LLC. Peter M Nicholas, the uncle-in-law of Langley Steinert, is the general partner of the parent entity of Promerica Capital LLC.</w:t>
      </w:r>
    </w:p>
    <w:p>
      <w:pPr>
        <w:spacing w:after="0" w:line="55" w:lineRule="exact"/>
        <w:rPr>
          <w:rFonts w:ascii="Arial" w:cs="Arial" w:eastAsia="Arial" w:hAnsi="Arial"/>
          <w:sz w:val="13"/>
          <w:szCs w:val="13"/>
          <w:color w:val="auto"/>
          <w:vertAlign w:val="superscript"/>
        </w:rPr>
      </w:pPr>
    </w:p>
    <w:p>
      <w:pPr>
        <w:ind w:left="1500" w:hanging="360"/>
        <w:spacing w:after="0"/>
        <w:tabs>
          <w:tab w:leader="none" w:pos="1500" w:val="left"/>
        </w:tabs>
        <w:numPr>
          <w:ilvl w:val="0"/>
          <w:numId w:val="79"/>
        </w:numPr>
        <w:rPr>
          <w:rFonts w:ascii="Arial" w:cs="Arial" w:eastAsia="Arial" w:hAnsi="Arial"/>
          <w:sz w:val="14"/>
          <w:szCs w:val="14"/>
          <w:color w:val="auto"/>
          <w:vertAlign w:val="superscript"/>
        </w:rPr>
      </w:pPr>
      <w:r>
        <w:rPr>
          <w:rFonts w:ascii="Arial" w:cs="Arial" w:eastAsia="Arial" w:hAnsi="Arial"/>
          <w:sz w:val="10"/>
          <w:szCs w:val="10"/>
          <w:color w:val="auto"/>
        </w:rPr>
        <w:t>All shares held by the The NP 2003 Family Trust are now held by The RWS 2006 Family Trust.</w:t>
      </w:r>
    </w:p>
    <w:p>
      <w:pPr>
        <w:spacing w:after="0" w:line="55"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79"/>
        </w:numPr>
        <w:rPr>
          <w:rFonts w:ascii="Arial" w:cs="Arial" w:eastAsia="Arial" w:hAnsi="Arial"/>
          <w:sz w:val="14"/>
          <w:szCs w:val="14"/>
          <w:color w:val="auto"/>
          <w:vertAlign w:val="superscript"/>
        </w:rPr>
      </w:pPr>
      <w:r>
        <w:rPr>
          <w:rFonts w:ascii="Arial" w:cs="Arial" w:eastAsia="Arial" w:hAnsi="Arial"/>
          <w:sz w:val="10"/>
          <w:szCs w:val="10"/>
          <w:color w:val="auto"/>
        </w:rPr>
        <w:t>Anastasios Parafestas was a co-trustee of The NP 2003 Family Trust and is a co-trustee of The RWS 2006 Family Trust.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and Restated Investors' Rights Agreement</w:t>
      </w:r>
    </w:p>
    <w:p>
      <w:pPr>
        <w:spacing w:after="0" w:line="155" w:lineRule="exact"/>
        <w:rPr>
          <w:sz w:val="20"/>
          <w:szCs w:val="20"/>
          <w:color w:val="auto"/>
        </w:rPr>
      </w:pPr>
    </w:p>
    <w:p>
      <w:pPr>
        <w:jc w:val="both"/>
        <w:ind w:right="40" w:firstLine="326"/>
        <w:spacing w:after="0" w:line="237" w:lineRule="auto"/>
        <w:rPr>
          <w:sz w:val="20"/>
          <w:szCs w:val="20"/>
          <w:color w:val="auto"/>
        </w:rPr>
      </w:pPr>
      <w:r>
        <w:rPr>
          <w:rFonts w:ascii="Arial" w:cs="Arial" w:eastAsia="Arial" w:hAnsi="Arial"/>
          <w:sz w:val="12"/>
          <w:szCs w:val="12"/>
          <w:color w:val="auto"/>
        </w:rPr>
        <w:t>We are party to an amended and restated investors' rights agreement which provides, among other things, that certain holders of our capital stock, including Allen &amp; Company LLC, Argonaut 22 LLC, entities affiliated with T. Rowe Price, Langley Steinert, Stephen Kaufer, David Parker, Simon Rothman, and Ian Smith, have the right to demand that we file a registration statement or request that their shares of our capital stock be covered by a registration statement that we are otherwise filing. See the section titled "Description of Capital Stock — Registration Rights" for additional information regarding these registration rights.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Amended and Restated Stockholders' Agreement</w:t>
      </w:r>
    </w:p>
    <w:p>
      <w:pPr>
        <w:spacing w:after="0" w:line="155" w:lineRule="exact"/>
        <w:rPr>
          <w:sz w:val="20"/>
          <w:szCs w:val="20"/>
          <w:color w:val="auto"/>
        </w:rPr>
      </w:pPr>
    </w:p>
    <w:p>
      <w:pPr>
        <w:ind w:right="260" w:firstLine="326"/>
        <w:spacing w:after="0" w:line="237" w:lineRule="auto"/>
        <w:rPr>
          <w:sz w:val="20"/>
          <w:szCs w:val="20"/>
          <w:color w:val="auto"/>
        </w:rPr>
      </w:pPr>
      <w:r>
        <w:rPr>
          <w:rFonts w:ascii="Arial" w:cs="Arial" w:eastAsia="Arial" w:hAnsi="Arial"/>
          <w:sz w:val="12"/>
          <w:szCs w:val="12"/>
          <w:color w:val="auto"/>
        </w:rPr>
        <w:t>We are party to a second amended and restated stockholders' agreement under which certain holders of our capital stock, including Allen &amp; Company LLC, Argonaut 22 LLC, entities affiliated with T. Rowe Price, Langley Steinert, Stephen Kaufer, David Parker, Simon Rothman, and Ian Smith, agreed to vote their shares on certain matters, including with respect to the election of directors. Upon the closing of this offering, this agreement will terminate and none of our stockholders will have any special rights regarding the election or designation of members of our board of directors or the voting of our capital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 Agreements</w:t>
      </w:r>
    </w:p>
    <w:p>
      <w:pPr>
        <w:spacing w:after="0" w:line="155"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Prior to the closing of this offering, we expect to enter into indemnification agreements with each of our executive officers and directors. These agreements will provide that we will indemnify each of these individuals to the fullest extent permitted by the Delaware General Corporation Law against liabilities that may arise by reason of their service to us, and allow us to advance expenses to each indemnitee in connection with any proceeding in which indemnification is available. Insofar as indemnification for liabilities arising under the Securities Act of 1933, as amended, may be permitted to directors, we have been informed that in the opinion of the SEC such indemnification is against public policy and is therefore unenforceable.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Policies and Procedures for Related Person Transactions</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In connection with this offering, we intend to adopt a policy giving our audit committee the primary responsibility for reviewing and approving or disapproving "related person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 Our audit committee charter provides that the audit committee shall review and approve or disapprove any related person transactions.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44" w:name="page145"/>
    <w:bookmarkEnd w:id="14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firstLine="319"/>
        <w:spacing w:after="0" w:line="239" w:lineRule="auto"/>
        <w:rPr>
          <w:sz w:val="20"/>
          <w:szCs w:val="20"/>
          <w:color w:val="auto"/>
        </w:rPr>
      </w:pPr>
      <w:r>
        <w:rPr>
          <w:rFonts w:ascii="Arial" w:cs="Arial" w:eastAsia="Arial" w:hAnsi="Arial"/>
          <w:sz w:val="12"/>
          <w:szCs w:val="12"/>
          <w:color w:val="auto"/>
        </w:rPr>
        <w:t>A related person transaction will be considered approved or ratified if it is authorized by the audit committee after full disclosure of the related person's interest in the transaction. In considering related person transactions, the audit committee will consider any information considered material to investors and the following factors:</w:t>
      </w:r>
    </w:p>
    <w:p>
      <w:pPr>
        <w:spacing w:after="0" w:line="139" w:lineRule="exact"/>
        <w:rPr>
          <w:sz w:val="20"/>
          <w:szCs w:val="20"/>
          <w:color w:val="auto"/>
        </w:rPr>
      </w:pPr>
    </w:p>
    <w:p>
      <w:pPr>
        <w:ind w:left="720" w:hanging="368"/>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related person's interest in the transaction;</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approximate dollar value of the transaction;</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whether the transaction would impair the independence of an otherwise independent director or nominee for director;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whether the terms of the transaction are no less favorable to us than terms that we could have reached with an unrelated third party under the same or similar circumstances;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purpose and timing of the transaction.</w:t>
      </w:r>
    </w:p>
    <w:p>
      <w:pPr>
        <w:spacing w:after="0" w:line="141"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80"/>
          </w:cols>
          <w:pgMar w:left="220" w:top="141" w:right="699" w:bottom="1440" w:gutter="0" w:footer="0" w:header="0"/>
        </w:sectPr>
      </w:pPr>
    </w:p>
    <w:bookmarkStart w:id="145" w:name="page146"/>
    <w:bookmarkEnd w:id="14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PRINCIPAL AND SELLING STOCKHOLDERS</w:t>
      </w:r>
    </w:p>
    <w:p>
      <w:pPr>
        <w:spacing w:after="0" w:line="155" w:lineRule="exact"/>
        <w:rPr>
          <w:sz w:val="20"/>
          <w:szCs w:val="20"/>
          <w:color w:val="auto"/>
        </w:rPr>
      </w:pPr>
    </w:p>
    <w:p>
      <w:pPr>
        <w:ind w:right="240" w:firstLine="323"/>
        <w:spacing w:after="0" w:line="239" w:lineRule="auto"/>
        <w:rPr>
          <w:sz w:val="20"/>
          <w:szCs w:val="20"/>
          <w:color w:val="auto"/>
        </w:rPr>
      </w:pPr>
      <w:r>
        <w:rPr>
          <w:rFonts w:ascii="Arial" w:cs="Arial" w:eastAsia="Arial" w:hAnsi="Arial"/>
          <w:sz w:val="12"/>
          <w:szCs w:val="12"/>
          <w:color w:val="auto"/>
        </w:rPr>
        <w:t>The following table sets forth information regarding beneficial ownership of our Class A common stock and Class B common stock as of September 25, 2017, as adjusted to reflect the shares of Class A common stock to be issued and sold by us and the selling stockholders in this offering, by:</w:t>
      </w:r>
    </w:p>
    <w:p>
      <w:pPr>
        <w:spacing w:after="0" w:line="139" w:lineRule="exact"/>
        <w:rPr>
          <w:sz w:val="20"/>
          <w:szCs w:val="20"/>
          <w:color w:val="auto"/>
        </w:rPr>
      </w:pPr>
    </w:p>
    <w:p>
      <w:pPr>
        <w:ind w:left="720" w:hanging="368"/>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each of our named executive officers;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all executive officers and directors as a group;</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each person or group of affiliated persons known by us to be the beneficial owner of more than 5% of our common stock;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each selling stockholder.</w:t>
      </w:r>
    </w:p>
    <w:p>
      <w:pPr>
        <w:spacing w:after="0" w:line="141"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Class A common stock and Class B common stock beneficially owned by a person and the percentage ownership of that person, we deemed outstanding shares of our Class A common stock subject to options or RSUs held by that person that are currently exercisable or exercisable within 60 days of September 25, 2017. We did not deem these shares outstanding, however, for the purpose of computing the percentage ownership of any other person.</w:t>
      </w:r>
    </w:p>
    <w:p>
      <w:pPr>
        <w:spacing w:after="0" w:line="141" w:lineRule="exact"/>
        <w:rPr>
          <w:sz w:val="20"/>
          <w:szCs w:val="20"/>
          <w:color w:val="auto"/>
        </w:rPr>
      </w:pPr>
    </w:p>
    <w:p>
      <w:pPr>
        <w:ind w:right="280" w:firstLine="326"/>
        <w:spacing w:after="0" w:line="236" w:lineRule="auto"/>
        <w:rPr>
          <w:sz w:val="20"/>
          <w:szCs w:val="20"/>
          <w:color w:val="auto"/>
        </w:rPr>
      </w:pPr>
      <w:r>
        <w:rPr>
          <w:rFonts w:ascii="Arial" w:cs="Arial" w:eastAsia="Arial" w:hAnsi="Arial"/>
          <w:sz w:val="12"/>
          <w:szCs w:val="12"/>
          <w:color w:val="auto"/>
        </w:rPr>
        <w:t>We have based our calculation of the percentage ownership of our Class A common stock and Class B common stock prior to this offering on 74,659,944 shares of our Class A common stock outstanding and 28,193,712 shares of our Class B common stock outstanding, in each case, as of September 25, 2017 (assuming the automatic conversion of all outstanding shares of preferred stock into an aggregate of 60,564,678 shares of Class A common stock upon the closing of this offering). Percentage ownership of our Class A common stock after this offering includes the sale of 2,500,000 shares of Class A common stock by us and 6,900,000 shares of Class A common stock by the selling stockholders in this offering and no exercise of the underwriters' option to purchase additional shares of Class A common stock from us and the selling stockholders.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Unless otherwise indicated, the address of each beneficial owner listed on the table below is c/o CarGurus, Inc., 2 Canal Park, Cambridge, Massachusetts 02141.</w:t>
      </w:r>
    </w:p>
    <w:p>
      <w:pPr>
        <w:spacing w:after="0" w:line="141"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Unless otherwise noted below, no selling stockholder has had any position, office or other material relationship with us or any of our predecessors or affiliates within the past three years. Unless otherwise indicated in the footnotes below, based on the information provided to us by or on behalf of the selling stockholders, no selling stockholder is a broker-dealer or an affiliate of a broker-dealer.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46" w:name="page147"/>
    <w:bookmarkEnd w:id="14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89"/>
              </w:rPr>
              <w:t>% of</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9"/>
              </w:rPr>
              <w:t>% of</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89"/>
              </w:rPr>
              <w:t>Total</w:t>
            </w:r>
          </w:p>
        </w:tc>
        <w:tc>
          <w:tcPr>
            <w:tcW w:w="40" w:type="dxa"/>
            <w:vAlign w:val="bottom"/>
          </w:tcPr>
          <w:p>
            <w:pPr>
              <w:spacing w:after="0"/>
              <w:rPr>
                <w:sz w:val="9"/>
                <w:szCs w:val="9"/>
                <w:color w:val="auto"/>
              </w:rPr>
            </w:pP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89"/>
              </w:rPr>
              <w:t>% of</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89"/>
              </w:rPr>
              <w:t>Total</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08" w:lineRule="exact"/>
              <w:rPr>
                <w:sz w:val="20"/>
                <w:szCs w:val="20"/>
                <w:color w:val="auto"/>
              </w:rPr>
            </w:pPr>
            <w:r>
              <w:rPr>
                <w:rFonts w:ascii="Arial" w:cs="Arial" w:eastAsia="Arial" w:hAnsi="Arial"/>
                <w:sz w:val="10"/>
                <w:szCs w:val="10"/>
                <w:color w:val="auto"/>
                <w:w w:val="89"/>
              </w:rPr>
              <w:t>% of</w:t>
            </w: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8"/>
          </w:tcPr>
          <w:p>
            <w:pPr>
              <w:jc w:val="center"/>
              <w:ind w:left="172"/>
              <w:spacing w:after="0" w:line="108" w:lineRule="exact"/>
              <w:rPr>
                <w:sz w:val="20"/>
                <w:szCs w:val="20"/>
                <w:color w:val="auto"/>
              </w:rPr>
            </w:pPr>
            <w:r>
              <w:rPr>
                <w:rFonts w:ascii="Arial" w:cs="Arial" w:eastAsia="Arial" w:hAnsi="Arial"/>
                <w:sz w:val="10"/>
                <w:szCs w:val="10"/>
                <w:color w:val="auto"/>
                <w:w w:val="96"/>
              </w:rPr>
              <w:t>Shares Beneficially</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94"/>
              </w:rPr>
              <w:t>Shares</w:t>
            </w:r>
          </w:p>
        </w:tc>
        <w:tc>
          <w:tcPr>
            <w:tcW w:w="40" w:type="dxa"/>
            <w:vAlign w:val="bottom"/>
          </w:tcPr>
          <w:p>
            <w:pPr>
              <w:spacing w:after="0"/>
              <w:rPr>
                <w:sz w:val="9"/>
                <w:szCs w:val="9"/>
                <w:color w:val="auto"/>
              </w:rPr>
            </w:pP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89"/>
              </w:rPr>
              <w:t>Total</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8"/>
          </w:tcPr>
          <w:p>
            <w:pPr>
              <w:jc w:val="center"/>
              <w:ind w:left="192"/>
              <w:spacing w:after="0" w:line="108" w:lineRule="exact"/>
              <w:rPr>
                <w:sz w:val="20"/>
                <w:szCs w:val="20"/>
                <w:color w:val="auto"/>
              </w:rPr>
            </w:pPr>
            <w:r>
              <w:rPr>
                <w:rFonts w:ascii="Arial" w:cs="Arial" w:eastAsia="Arial" w:hAnsi="Arial"/>
                <w:sz w:val="10"/>
                <w:szCs w:val="10"/>
                <w:color w:val="auto"/>
                <w:w w:val="96"/>
              </w:rPr>
              <w:t>Shares Beneficially</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94"/>
              </w:rPr>
              <w:t>Shares</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08" w:lineRule="exact"/>
              <w:rPr>
                <w:sz w:val="20"/>
                <w:szCs w:val="20"/>
                <w:color w:val="auto"/>
              </w:rPr>
            </w:pPr>
            <w:r>
              <w:rPr>
                <w:rFonts w:ascii="Arial" w:cs="Arial" w:eastAsia="Arial" w:hAnsi="Arial"/>
                <w:sz w:val="10"/>
                <w:szCs w:val="10"/>
                <w:color w:val="auto"/>
                <w:w w:val="98"/>
              </w:rPr>
              <w:t>Total</w:t>
            </w: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7"/>
          </w:tcPr>
          <w:p>
            <w:pPr>
              <w:jc w:val="center"/>
              <w:ind w:right="340"/>
              <w:spacing w:after="0" w:line="108" w:lineRule="exact"/>
              <w:rPr>
                <w:sz w:val="20"/>
                <w:szCs w:val="20"/>
                <w:color w:val="auto"/>
              </w:rPr>
            </w:pPr>
            <w:r>
              <w:rPr>
                <w:rFonts w:ascii="Arial" w:cs="Arial" w:eastAsia="Arial" w:hAnsi="Arial"/>
                <w:sz w:val="10"/>
                <w:szCs w:val="10"/>
                <w:color w:val="auto"/>
                <w:w w:val="95"/>
              </w:rPr>
              <w:t>Owned Prior to</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94"/>
              </w:rPr>
              <w:t>Beneficially</w:t>
            </w:r>
          </w:p>
        </w:tc>
        <w:tc>
          <w:tcPr>
            <w:tcW w:w="40" w:type="dxa"/>
            <w:vAlign w:val="bottom"/>
          </w:tcPr>
          <w:p>
            <w:pPr>
              <w:spacing w:after="0"/>
              <w:rPr>
                <w:sz w:val="9"/>
                <w:szCs w:val="9"/>
                <w:color w:val="auto"/>
              </w:rPr>
            </w:pP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1"/>
              </w:rPr>
              <w:t>Voting</w:t>
            </w:r>
          </w:p>
        </w:tc>
        <w:tc>
          <w:tcPr>
            <w:tcW w:w="60" w:type="dxa"/>
            <w:vAlign w:val="bottom"/>
          </w:tcPr>
          <w:p>
            <w:pPr>
              <w:spacing w:after="0"/>
              <w:rPr>
                <w:sz w:val="9"/>
                <w:szCs w:val="9"/>
                <w:color w:val="auto"/>
              </w:rPr>
            </w:pPr>
          </w:p>
        </w:tc>
        <w:tc>
          <w:tcPr>
            <w:tcW w:w="640" w:type="dxa"/>
            <w:vAlign w:val="bottom"/>
            <w:gridSpan w:val="2"/>
          </w:tcPr>
          <w:p>
            <w:pPr>
              <w:jc w:val="center"/>
              <w:ind w:right="140"/>
              <w:spacing w:after="0" w:line="108" w:lineRule="exact"/>
              <w:rPr>
                <w:sz w:val="20"/>
                <w:szCs w:val="20"/>
                <w:color w:val="auto"/>
              </w:rPr>
            </w:pPr>
            <w:r>
              <w:rPr>
                <w:rFonts w:ascii="Arial" w:cs="Arial" w:eastAsia="Arial" w:hAnsi="Arial"/>
                <w:sz w:val="10"/>
                <w:szCs w:val="10"/>
                <w:color w:val="auto"/>
                <w:w w:val="95"/>
              </w:rPr>
              <w:t>Number</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6"/>
          </w:tcPr>
          <w:p>
            <w:pPr>
              <w:jc w:val="center"/>
              <w:ind w:right="380"/>
              <w:spacing w:after="0" w:line="108" w:lineRule="exact"/>
              <w:rPr>
                <w:sz w:val="20"/>
                <w:szCs w:val="20"/>
                <w:color w:val="auto"/>
              </w:rPr>
            </w:pPr>
            <w:r>
              <w:rPr>
                <w:rFonts w:ascii="Arial" w:cs="Arial" w:eastAsia="Arial" w:hAnsi="Arial"/>
                <w:sz w:val="10"/>
                <w:szCs w:val="10"/>
                <w:color w:val="auto"/>
                <w:w w:val="93"/>
              </w:rPr>
              <w:t>Owned After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94"/>
              </w:rPr>
              <w:t>Beneficially</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08" w:lineRule="exact"/>
              <w:rPr>
                <w:sz w:val="20"/>
                <w:szCs w:val="20"/>
                <w:color w:val="auto"/>
              </w:rPr>
            </w:pPr>
            <w:r>
              <w:rPr>
                <w:rFonts w:ascii="Arial" w:cs="Arial" w:eastAsia="Arial" w:hAnsi="Arial"/>
                <w:sz w:val="10"/>
                <w:szCs w:val="10"/>
                <w:color w:val="auto"/>
                <w:w w:val="91"/>
              </w:rPr>
              <w:t>Voting</w:t>
            </w: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5"/>
          </w:tcPr>
          <w:p>
            <w:pPr>
              <w:jc w:val="center"/>
              <w:ind w:right="400"/>
              <w:spacing w:after="0" w:line="105" w:lineRule="exact"/>
              <w:rPr>
                <w:sz w:val="20"/>
                <w:szCs w:val="20"/>
                <w:color w:val="auto"/>
              </w:rPr>
            </w:pPr>
            <w:r>
              <w:rPr>
                <w:rFonts w:ascii="Arial" w:cs="Arial" w:eastAsia="Arial" w:hAnsi="Arial"/>
                <w:sz w:val="10"/>
                <w:szCs w:val="10"/>
                <w:color w:val="auto"/>
                <w:w w:val="95"/>
              </w:rPr>
              <w:t>the Offering</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5" w:lineRule="exact"/>
              <w:rPr>
                <w:sz w:val="20"/>
                <w:szCs w:val="20"/>
                <w:color w:val="auto"/>
              </w:rPr>
            </w:pPr>
            <w:r>
              <w:rPr>
                <w:rFonts w:ascii="Arial" w:cs="Arial" w:eastAsia="Arial" w:hAnsi="Arial"/>
                <w:sz w:val="10"/>
                <w:szCs w:val="10"/>
                <w:color w:val="auto"/>
                <w:w w:val="94"/>
              </w:rPr>
              <w:t>Owned</w:t>
            </w:r>
          </w:p>
        </w:tc>
        <w:tc>
          <w:tcPr>
            <w:tcW w:w="40" w:type="dxa"/>
            <w:vAlign w:val="bottom"/>
          </w:tcPr>
          <w:p>
            <w:pPr>
              <w:spacing w:after="0"/>
              <w:rPr>
                <w:sz w:val="9"/>
                <w:szCs w:val="9"/>
                <w:color w:val="auto"/>
              </w:rPr>
            </w:pPr>
          </w:p>
        </w:tc>
        <w:tc>
          <w:tcPr>
            <w:tcW w:w="500" w:type="dxa"/>
            <w:vAlign w:val="bottom"/>
          </w:tcPr>
          <w:p>
            <w:pPr>
              <w:jc w:val="center"/>
              <w:spacing w:after="0" w:line="105" w:lineRule="exact"/>
              <w:rPr>
                <w:sz w:val="20"/>
                <w:szCs w:val="20"/>
                <w:color w:val="auto"/>
              </w:rPr>
            </w:pPr>
            <w:r>
              <w:rPr>
                <w:rFonts w:ascii="Arial" w:cs="Arial" w:eastAsia="Arial" w:hAnsi="Arial"/>
                <w:sz w:val="10"/>
                <w:szCs w:val="10"/>
                <w:color w:val="auto"/>
                <w:w w:val="91"/>
              </w:rPr>
              <w:t>Power</w:t>
            </w:r>
          </w:p>
        </w:tc>
        <w:tc>
          <w:tcPr>
            <w:tcW w:w="60" w:type="dxa"/>
            <w:vAlign w:val="bottom"/>
          </w:tcPr>
          <w:p>
            <w:pPr>
              <w:spacing w:after="0"/>
              <w:rPr>
                <w:sz w:val="9"/>
                <w:szCs w:val="9"/>
                <w:color w:val="auto"/>
              </w:rPr>
            </w:pPr>
          </w:p>
        </w:tc>
        <w:tc>
          <w:tcPr>
            <w:tcW w:w="640" w:type="dxa"/>
            <w:vAlign w:val="bottom"/>
            <w:gridSpan w:val="2"/>
          </w:tcPr>
          <w:p>
            <w:pPr>
              <w:jc w:val="center"/>
              <w:ind w:right="120"/>
              <w:spacing w:after="0" w:line="105" w:lineRule="exact"/>
              <w:rPr>
                <w:sz w:val="20"/>
                <w:szCs w:val="20"/>
                <w:color w:val="auto"/>
              </w:rPr>
            </w:pPr>
            <w:r>
              <w:rPr>
                <w:rFonts w:ascii="Arial" w:cs="Arial" w:eastAsia="Arial" w:hAnsi="Arial"/>
                <w:sz w:val="10"/>
                <w:szCs w:val="10"/>
                <w:color w:val="auto"/>
                <w:w w:val="95"/>
              </w:rPr>
              <w:t>of</w:t>
            </w: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5"/>
          </w:tcPr>
          <w:p>
            <w:pPr>
              <w:jc w:val="center"/>
              <w:ind w:right="400"/>
              <w:spacing w:after="0" w:line="105" w:lineRule="exact"/>
              <w:rPr>
                <w:sz w:val="20"/>
                <w:szCs w:val="20"/>
                <w:color w:val="auto"/>
              </w:rPr>
            </w:pPr>
            <w:r>
              <w:rPr>
                <w:rFonts w:ascii="Arial" w:cs="Arial" w:eastAsia="Arial" w:hAnsi="Arial"/>
                <w:sz w:val="10"/>
                <w:szCs w:val="10"/>
                <w:color w:val="auto"/>
                <w:w w:val="95"/>
              </w:rPr>
              <w:t>the Offering</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5" w:lineRule="exact"/>
              <w:rPr>
                <w:sz w:val="20"/>
                <w:szCs w:val="20"/>
                <w:color w:val="auto"/>
              </w:rPr>
            </w:pPr>
            <w:r>
              <w:rPr>
                <w:rFonts w:ascii="Arial" w:cs="Arial" w:eastAsia="Arial" w:hAnsi="Arial"/>
                <w:sz w:val="10"/>
                <w:szCs w:val="10"/>
                <w:color w:val="auto"/>
                <w:w w:val="94"/>
              </w:rPr>
              <w:t>Owned</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05" w:lineRule="exact"/>
              <w:rPr>
                <w:sz w:val="20"/>
                <w:szCs w:val="20"/>
                <w:color w:val="auto"/>
              </w:rPr>
            </w:pPr>
            <w:r>
              <w:rPr>
                <w:rFonts w:ascii="Arial" w:cs="Arial" w:eastAsia="Arial" w:hAnsi="Arial"/>
                <w:sz w:val="10"/>
                <w:szCs w:val="10"/>
                <w:color w:val="auto"/>
                <w:w w:val="91"/>
              </w:rPr>
              <w:t>Power</w:t>
            </w:r>
          </w:p>
        </w:tc>
      </w:tr>
      <w:tr>
        <w:trPr>
          <w:trHeight w:val="109"/>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center"/>
              <w:ind w:left="172"/>
              <w:spacing w:after="0" w:line="110" w:lineRule="exact"/>
              <w:rPr>
                <w:sz w:val="20"/>
                <w:szCs w:val="20"/>
                <w:color w:val="auto"/>
              </w:rPr>
            </w:pPr>
            <w:r>
              <w:rPr>
                <w:rFonts w:ascii="Arial" w:cs="Arial" w:eastAsia="Arial" w:hAnsi="Arial"/>
                <w:sz w:val="10"/>
                <w:szCs w:val="10"/>
                <w:color w:val="auto"/>
                <w:w w:val="92"/>
              </w:rPr>
              <w:t>Class A</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left="172"/>
              <w:spacing w:after="0" w:line="110" w:lineRule="exact"/>
              <w:rPr>
                <w:sz w:val="20"/>
                <w:szCs w:val="20"/>
                <w:color w:val="auto"/>
              </w:rPr>
            </w:pPr>
            <w:r>
              <w:rPr>
                <w:rFonts w:ascii="Arial" w:cs="Arial" w:eastAsia="Arial" w:hAnsi="Arial"/>
                <w:sz w:val="10"/>
                <w:szCs w:val="10"/>
                <w:color w:val="auto"/>
                <w:w w:val="98"/>
              </w:rPr>
              <w:t>Class B</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Arial" w:cs="Arial" w:eastAsia="Arial" w:hAnsi="Arial"/>
                <w:sz w:val="10"/>
                <w:szCs w:val="10"/>
                <w:color w:val="auto"/>
                <w:w w:val="92"/>
              </w:rPr>
              <w:t>Prior to</w:t>
            </w:r>
          </w:p>
        </w:tc>
        <w:tc>
          <w:tcPr>
            <w:tcW w:w="4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Arial" w:cs="Arial" w:eastAsia="Arial" w:hAnsi="Arial"/>
                <w:sz w:val="10"/>
                <w:szCs w:val="10"/>
                <w:color w:val="auto"/>
                <w:w w:val="92"/>
              </w:rPr>
              <w:t>Prior to</w:t>
            </w:r>
          </w:p>
        </w:tc>
        <w:tc>
          <w:tcPr>
            <w:tcW w:w="60" w:type="dxa"/>
            <w:vAlign w:val="bottom"/>
          </w:tcPr>
          <w:p>
            <w:pPr>
              <w:spacing w:after="0"/>
              <w:rPr>
                <w:sz w:val="9"/>
                <w:szCs w:val="9"/>
                <w:color w:val="auto"/>
              </w:rPr>
            </w:pPr>
          </w:p>
        </w:tc>
        <w:tc>
          <w:tcPr>
            <w:tcW w:w="640" w:type="dxa"/>
            <w:vAlign w:val="bottom"/>
            <w:gridSpan w:val="2"/>
          </w:tcPr>
          <w:p>
            <w:pPr>
              <w:jc w:val="center"/>
              <w:ind w:right="140"/>
              <w:spacing w:after="0" w:line="110" w:lineRule="exact"/>
              <w:rPr>
                <w:sz w:val="20"/>
                <w:szCs w:val="20"/>
                <w:color w:val="auto"/>
              </w:rPr>
            </w:pPr>
            <w:r>
              <w:rPr>
                <w:rFonts w:ascii="Arial" w:cs="Arial" w:eastAsia="Arial" w:hAnsi="Arial"/>
                <w:sz w:val="10"/>
                <w:szCs w:val="10"/>
                <w:color w:val="auto"/>
                <w:w w:val="94"/>
              </w:rPr>
              <w:t>Shares</w:t>
            </w:r>
          </w:p>
        </w:tc>
        <w:tc>
          <w:tcPr>
            <w:tcW w:w="640" w:type="dxa"/>
            <w:vAlign w:val="bottom"/>
            <w:gridSpan w:val="3"/>
          </w:tcPr>
          <w:p>
            <w:pPr>
              <w:jc w:val="center"/>
              <w:ind w:left="172"/>
              <w:spacing w:after="0" w:line="110" w:lineRule="exact"/>
              <w:rPr>
                <w:sz w:val="20"/>
                <w:szCs w:val="20"/>
                <w:color w:val="auto"/>
              </w:rPr>
            </w:pPr>
            <w:r>
              <w:rPr>
                <w:rFonts w:ascii="Arial" w:cs="Arial" w:eastAsia="Arial" w:hAnsi="Arial"/>
                <w:sz w:val="10"/>
                <w:szCs w:val="10"/>
                <w:color w:val="auto"/>
                <w:w w:val="98"/>
              </w:rPr>
              <w:t>Class A</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left="172"/>
              <w:spacing w:after="0" w:line="110" w:lineRule="exact"/>
              <w:rPr>
                <w:sz w:val="20"/>
                <w:szCs w:val="20"/>
                <w:color w:val="auto"/>
              </w:rPr>
            </w:pPr>
            <w:r>
              <w:rPr>
                <w:rFonts w:ascii="Arial" w:cs="Arial" w:eastAsia="Arial" w:hAnsi="Arial"/>
                <w:sz w:val="10"/>
                <w:szCs w:val="10"/>
                <w:color w:val="auto"/>
                <w:w w:val="98"/>
              </w:rPr>
              <w:t>Class B</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Arial" w:cs="Arial" w:eastAsia="Arial" w:hAnsi="Arial"/>
                <w:sz w:val="10"/>
                <w:szCs w:val="10"/>
                <w:color w:val="auto"/>
                <w:w w:val="94"/>
              </w:rPr>
              <w:t>After</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10" w:lineRule="exact"/>
              <w:rPr>
                <w:sz w:val="20"/>
                <w:szCs w:val="20"/>
                <w:color w:val="auto"/>
              </w:rPr>
            </w:pPr>
            <w:r>
              <w:rPr>
                <w:rFonts w:ascii="Arial" w:cs="Arial" w:eastAsia="Arial" w:hAnsi="Arial"/>
                <w:sz w:val="10"/>
                <w:szCs w:val="10"/>
                <w:color w:val="auto"/>
              </w:rPr>
              <w:t>After</w:t>
            </w: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gridSpan w:val="3"/>
          </w:tcPr>
          <w:p>
            <w:pPr>
              <w:jc w:val="center"/>
              <w:ind w:left="172"/>
              <w:spacing w:after="0" w:line="105" w:lineRule="exact"/>
              <w:rPr>
                <w:sz w:val="20"/>
                <w:szCs w:val="20"/>
                <w:color w:val="auto"/>
              </w:rPr>
            </w:pPr>
            <w:r>
              <w:rPr>
                <w:rFonts w:ascii="Arial" w:cs="Arial" w:eastAsia="Arial" w:hAnsi="Arial"/>
                <w:sz w:val="10"/>
                <w:szCs w:val="10"/>
                <w:color w:val="auto"/>
                <w:w w:val="98"/>
              </w:rPr>
              <w:t>Common</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auto"/>
            </w:tcBorders>
            <w:gridSpan w:val="3"/>
          </w:tcPr>
          <w:p>
            <w:pPr>
              <w:jc w:val="center"/>
              <w:ind w:left="172"/>
              <w:spacing w:after="0" w:line="105" w:lineRule="exact"/>
              <w:rPr>
                <w:sz w:val="20"/>
                <w:szCs w:val="20"/>
                <w:color w:val="auto"/>
              </w:rPr>
            </w:pPr>
            <w:r>
              <w:rPr>
                <w:rFonts w:ascii="Arial" w:cs="Arial" w:eastAsia="Arial" w:hAnsi="Arial"/>
                <w:sz w:val="10"/>
                <w:szCs w:val="10"/>
                <w:color w:val="auto"/>
                <w:w w:val="93"/>
              </w:rPr>
              <w:t>Common</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5" w:lineRule="exact"/>
              <w:rPr>
                <w:sz w:val="20"/>
                <w:szCs w:val="20"/>
                <w:color w:val="auto"/>
              </w:rPr>
            </w:pPr>
            <w:r>
              <w:rPr>
                <w:rFonts w:ascii="Arial" w:cs="Arial" w:eastAsia="Arial" w:hAnsi="Arial"/>
                <w:sz w:val="10"/>
                <w:szCs w:val="10"/>
                <w:color w:val="auto"/>
              </w:rPr>
              <w:t>the</w:t>
            </w:r>
          </w:p>
        </w:tc>
        <w:tc>
          <w:tcPr>
            <w:tcW w:w="40" w:type="dxa"/>
            <w:vAlign w:val="bottom"/>
          </w:tcPr>
          <w:p>
            <w:pPr>
              <w:spacing w:after="0"/>
              <w:rPr>
                <w:sz w:val="9"/>
                <w:szCs w:val="9"/>
                <w:color w:val="auto"/>
              </w:rPr>
            </w:pPr>
          </w:p>
        </w:tc>
        <w:tc>
          <w:tcPr>
            <w:tcW w:w="500" w:type="dxa"/>
            <w:vAlign w:val="bottom"/>
          </w:tcPr>
          <w:p>
            <w:pPr>
              <w:jc w:val="center"/>
              <w:spacing w:after="0" w:line="105" w:lineRule="exact"/>
              <w:rPr>
                <w:sz w:val="20"/>
                <w:szCs w:val="20"/>
                <w:color w:val="auto"/>
              </w:rPr>
            </w:pPr>
            <w:r>
              <w:rPr>
                <w:rFonts w:ascii="Arial" w:cs="Arial" w:eastAsia="Arial" w:hAnsi="Arial"/>
                <w:sz w:val="10"/>
                <w:szCs w:val="10"/>
                <w:color w:val="auto"/>
              </w:rPr>
              <w:t>the</w:t>
            </w:r>
          </w:p>
        </w:tc>
        <w:tc>
          <w:tcPr>
            <w:tcW w:w="60" w:type="dxa"/>
            <w:vAlign w:val="bottom"/>
          </w:tcPr>
          <w:p>
            <w:pPr>
              <w:spacing w:after="0"/>
              <w:rPr>
                <w:sz w:val="9"/>
                <w:szCs w:val="9"/>
                <w:color w:val="auto"/>
              </w:rPr>
            </w:pPr>
          </w:p>
        </w:tc>
        <w:tc>
          <w:tcPr>
            <w:tcW w:w="640" w:type="dxa"/>
            <w:vAlign w:val="bottom"/>
            <w:gridSpan w:val="2"/>
          </w:tcPr>
          <w:p>
            <w:pPr>
              <w:jc w:val="center"/>
              <w:ind w:right="120"/>
              <w:spacing w:after="0" w:line="105" w:lineRule="exact"/>
              <w:rPr>
                <w:sz w:val="20"/>
                <w:szCs w:val="20"/>
                <w:color w:val="auto"/>
              </w:rPr>
            </w:pPr>
            <w:r>
              <w:rPr>
                <w:rFonts w:ascii="Arial" w:cs="Arial" w:eastAsia="Arial" w:hAnsi="Arial"/>
                <w:sz w:val="10"/>
                <w:szCs w:val="10"/>
                <w:color w:val="auto"/>
                <w:w w:val="93"/>
              </w:rPr>
              <w:t>Being</w:t>
            </w:r>
          </w:p>
        </w:tc>
        <w:tc>
          <w:tcPr>
            <w:tcW w:w="640" w:type="dxa"/>
            <w:vAlign w:val="bottom"/>
            <w:tcBorders>
              <w:bottom w:val="single" w:sz="8" w:color="auto"/>
            </w:tcBorders>
            <w:gridSpan w:val="3"/>
          </w:tcPr>
          <w:p>
            <w:pPr>
              <w:jc w:val="center"/>
              <w:ind w:left="172"/>
              <w:spacing w:after="0" w:line="105" w:lineRule="exact"/>
              <w:rPr>
                <w:sz w:val="20"/>
                <w:szCs w:val="20"/>
                <w:color w:val="auto"/>
              </w:rPr>
            </w:pPr>
            <w:r>
              <w:rPr>
                <w:rFonts w:ascii="Arial" w:cs="Arial" w:eastAsia="Arial" w:hAnsi="Arial"/>
                <w:sz w:val="10"/>
                <w:szCs w:val="10"/>
                <w:color w:val="auto"/>
                <w:w w:val="93"/>
              </w:rPr>
              <w:t>Common</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auto"/>
            </w:tcBorders>
            <w:gridSpan w:val="3"/>
          </w:tcPr>
          <w:p>
            <w:pPr>
              <w:jc w:val="center"/>
              <w:ind w:left="172"/>
              <w:spacing w:after="0" w:line="105" w:lineRule="exact"/>
              <w:rPr>
                <w:sz w:val="20"/>
                <w:szCs w:val="20"/>
                <w:color w:val="auto"/>
              </w:rPr>
            </w:pPr>
            <w:r>
              <w:rPr>
                <w:rFonts w:ascii="Arial" w:cs="Arial" w:eastAsia="Arial" w:hAnsi="Arial"/>
                <w:sz w:val="10"/>
                <w:szCs w:val="10"/>
                <w:color w:val="auto"/>
                <w:w w:val="93"/>
              </w:rPr>
              <w:t>Common</w:t>
            </w: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spacing w:after="0" w:line="105" w:lineRule="exact"/>
              <w:rPr>
                <w:sz w:val="20"/>
                <w:szCs w:val="20"/>
                <w:color w:val="auto"/>
              </w:rPr>
            </w:pPr>
            <w:r>
              <w:rPr>
                <w:rFonts w:ascii="Arial" w:cs="Arial" w:eastAsia="Arial" w:hAnsi="Arial"/>
                <w:sz w:val="10"/>
                <w:szCs w:val="10"/>
                <w:color w:val="auto"/>
              </w:rPr>
              <w:t>the</w:t>
            </w:r>
          </w:p>
        </w:tc>
        <w:tc>
          <w:tcPr>
            <w:tcW w:w="60" w:type="dxa"/>
            <w:vAlign w:val="bottom"/>
          </w:tcPr>
          <w:p>
            <w:pPr>
              <w:spacing w:after="0"/>
              <w:rPr>
                <w:sz w:val="9"/>
                <w:szCs w:val="9"/>
                <w:color w:val="auto"/>
              </w:rPr>
            </w:pPr>
          </w:p>
        </w:tc>
        <w:tc>
          <w:tcPr>
            <w:tcW w:w="620" w:type="dxa"/>
            <w:vAlign w:val="bottom"/>
            <w:gridSpan w:val="2"/>
          </w:tcPr>
          <w:p>
            <w:pPr>
              <w:jc w:val="center"/>
              <w:ind w:right="80"/>
              <w:spacing w:after="0" w:line="105" w:lineRule="exact"/>
              <w:rPr>
                <w:sz w:val="20"/>
                <w:szCs w:val="20"/>
                <w:color w:val="auto"/>
              </w:rPr>
            </w:pPr>
            <w:r>
              <w:rPr>
                <w:rFonts w:ascii="Arial" w:cs="Arial" w:eastAsia="Arial" w:hAnsi="Arial"/>
                <w:sz w:val="10"/>
                <w:szCs w:val="10"/>
                <w:color w:val="auto"/>
              </w:rPr>
              <w:t>the</w:t>
            </w:r>
          </w:p>
        </w:tc>
      </w:tr>
      <w:tr>
        <w:trPr>
          <w:trHeight w:val="124"/>
        </w:trPr>
        <w:tc>
          <w:tcPr>
            <w:tcW w:w="2680" w:type="dxa"/>
            <w:vAlign w:val="bottom"/>
            <w:gridSpan w:val="4"/>
          </w:tcPr>
          <w:p>
            <w:pPr>
              <w:spacing w:after="0"/>
              <w:rPr>
                <w:sz w:val="20"/>
                <w:szCs w:val="20"/>
                <w:color w:val="auto"/>
              </w:rPr>
            </w:pPr>
            <w:r>
              <w:rPr>
                <w:rFonts w:ascii="Arial" w:cs="Arial" w:eastAsia="Arial" w:hAnsi="Arial"/>
                <w:sz w:val="10"/>
                <w:szCs w:val="10"/>
                <w:color w:val="auto"/>
              </w:rPr>
              <w:t>Name</w:t>
            </w:r>
          </w:p>
        </w:tc>
        <w:tc>
          <w:tcPr>
            <w:tcW w:w="620" w:type="dxa"/>
            <w:vAlign w:val="bottom"/>
            <w:gridSpan w:val="3"/>
          </w:tcPr>
          <w:p>
            <w:pPr>
              <w:ind w:left="120"/>
              <w:spacing w:after="0"/>
              <w:rPr>
                <w:sz w:val="20"/>
                <w:szCs w:val="20"/>
                <w:color w:val="auto"/>
              </w:rPr>
            </w:pPr>
            <w:r>
              <w:rPr>
                <w:rFonts w:ascii="Arial" w:cs="Arial" w:eastAsia="Arial" w:hAnsi="Arial"/>
                <w:sz w:val="10"/>
                <w:szCs w:val="10"/>
                <w:color w:val="auto"/>
              </w:rPr>
              <w:t>Shares</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gridSpan w:val="3"/>
          </w:tcPr>
          <w:p>
            <w:pPr>
              <w:ind w:left="140"/>
              <w:spacing w:after="0"/>
              <w:rPr>
                <w:sz w:val="20"/>
                <w:szCs w:val="20"/>
                <w:color w:val="auto"/>
              </w:rPr>
            </w:pPr>
            <w:r>
              <w:rPr>
                <w:rFonts w:ascii="Arial" w:cs="Arial" w:eastAsia="Arial" w:hAnsi="Arial"/>
                <w:sz w:val="10"/>
                <w:szCs w:val="10"/>
                <w:color w:val="auto"/>
              </w:rPr>
              <w:t>Shares</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5"/>
              </w:rPr>
              <w:t>Offering</w:t>
            </w:r>
          </w:p>
        </w:tc>
        <w:tc>
          <w:tcPr>
            <w:tcW w:w="4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0"/>
                <w:szCs w:val="10"/>
                <w:color w:val="auto"/>
                <w:w w:val="89"/>
              </w:rPr>
              <w:t>Offering</w:t>
            </w:r>
            <w:r>
              <w:rPr>
                <w:rFonts w:ascii="Arial" w:cs="Arial" w:eastAsia="Arial" w:hAnsi="Arial"/>
                <w:sz w:val="14"/>
                <w:szCs w:val="14"/>
                <w:color w:val="auto"/>
                <w:w w:val="89"/>
                <w:vertAlign w:val="superscript"/>
              </w:rPr>
              <w:t>(1)</w:t>
            </w:r>
          </w:p>
        </w:tc>
        <w:tc>
          <w:tcPr>
            <w:tcW w:w="6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Offered</w:t>
            </w:r>
          </w:p>
        </w:tc>
        <w:tc>
          <w:tcPr>
            <w:tcW w:w="640" w:type="dxa"/>
            <w:vAlign w:val="bottom"/>
            <w:gridSpan w:val="3"/>
          </w:tcPr>
          <w:p>
            <w:pPr>
              <w:ind w:left="140"/>
              <w:spacing w:after="0"/>
              <w:rPr>
                <w:sz w:val="20"/>
                <w:szCs w:val="20"/>
                <w:color w:val="auto"/>
              </w:rPr>
            </w:pPr>
            <w:r>
              <w:rPr>
                <w:rFonts w:ascii="Arial" w:cs="Arial" w:eastAsia="Arial" w:hAnsi="Arial"/>
                <w:sz w:val="10"/>
                <w:szCs w:val="10"/>
                <w:color w:val="auto"/>
              </w:rPr>
              <w:t>Shares</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gridSpan w:val="3"/>
          </w:tcPr>
          <w:p>
            <w:pPr>
              <w:ind w:left="140"/>
              <w:spacing w:after="0"/>
              <w:rPr>
                <w:sz w:val="20"/>
                <w:szCs w:val="20"/>
                <w:color w:val="auto"/>
              </w:rPr>
            </w:pPr>
            <w:r>
              <w:rPr>
                <w:rFonts w:ascii="Arial" w:cs="Arial" w:eastAsia="Arial" w:hAnsi="Arial"/>
                <w:sz w:val="10"/>
                <w:szCs w:val="10"/>
                <w:color w:val="auto"/>
              </w:rPr>
              <w:t>Shares</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5"/>
              </w:rPr>
              <w:t>Offering</w:t>
            </w:r>
          </w:p>
        </w:tc>
        <w:tc>
          <w:tcPr>
            <w:tcW w:w="60" w:type="dxa"/>
            <w:vAlign w:val="bottom"/>
          </w:tcPr>
          <w:p>
            <w:pPr>
              <w:spacing w:after="0"/>
              <w:rPr>
                <w:sz w:val="10"/>
                <w:szCs w:val="10"/>
                <w:color w:val="auto"/>
              </w:rPr>
            </w:pPr>
          </w:p>
        </w:tc>
        <w:tc>
          <w:tcPr>
            <w:tcW w:w="620" w:type="dxa"/>
            <w:vAlign w:val="bottom"/>
            <w:gridSpan w:val="2"/>
          </w:tcPr>
          <w:p>
            <w:pPr>
              <w:jc w:val="center"/>
              <w:ind w:right="80"/>
              <w:spacing w:after="0" w:line="125" w:lineRule="exact"/>
              <w:rPr>
                <w:sz w:val="20"/>
                <w:szCs w:val="20"/>
                <w:color w:val="auto"/>
              </w:rPr>
            </w:pPr>
            <w:r>
              <w:rPr>
                <w:rFonts w:ascii="Arial" w:cs="Arial" w:eastAsia="Arial" w:hAnsi="Arial"/>
                <w:sz w:val="10"/>
                <w:szCs w:val="10"/>
                <w:color w:val="auto"/>
                <w:w w:val="89"/>
              </w:rPr>
              <w:t>Offering</w:t>
            </w:r>
            <w:r>
              <w:rPr>
                <w:rFonts w:ascii="Arial" w:cs="Arial" w:eastAsia="Arial" w:hAnsi="Arial"/>
                <w:sz w:val="14"/>
                <w:szCs w:val="14"/>
                <w:color w:val="auto"/>
                <w:w w:val="89"/>
                <w:vertAlign w:val="superscript"/>
              </w:rPr>
              <w:t>(1)</w:t>
            </w:r>
          </w:p>
        </w:tc>
      </w:tr>
      <w:tr>
        <w:trPr>
          <w:trHeight w:val="106"/>
        </w:trPr>
        <w:tc>
          <w:tcPr>
            <w:tcW w:w="20" w:type="dxa"/>
            <w:vAlign w:val="bottom"/>
          </w:tcPr>
          <w:p>
            <w:pPr>
              <w:spacing w:after="0"/>
              <w:rPr>
                <w:sz w:val="9"/>
                <w:szCs w:val="9"/>
                <w:color w:val="auto"/>
              </w:rPr>
            </w:pPr>
          </w:p>
        </w:tc>
        <w:tc>
          <w:tcPr>
            <w:tcW w:w="2600" w:type="dxa"/>
            <w:vAlign w:val="bottom"/>
            <w:tcBorders>
              <w:top w:val="single" w:sz="8" w:color="auto"/>
            </w:tcBorders>
            <w:gridSpan w:val="2"/>
            <w:shd w:val="clear" w:color="auto" w:fill="CCEEFF"/>
          </w:tcPr>
          <w:p>
            <w:pPr>
              <w:spacing w:after="0" w:line="106" w:lineRule="exact"/>
              <w:rPr>
                <w:sz w:val="20"/>
                <w:szCs w:val="20"/>
                <w:color w:val="auto"/>
              </w:rPr>
            </w:pPr>
            <w:r>
              <w:rPr>
                <w:rFonts w:ascii="Arial" w:cs="Arial" w:eastAsia="Arial" w:hAnsi="Arial"/>
                <w:sz w:val="10"/>
                <w:szCs w:val="10"/>
                <w:b w:val="1"/>
                <w:bCs w:val="1"/>
                <w:i w:val="1"/>
                <w:iCs w:val="1"/>
                <w:color w:val="auto"/>
              </w:rPr>
              <w:t>Named Executive Officers and Directors:</w:t>
            </w:r>
          </w:p>
        </w:tc>
        <w:tc>
          <w:tcPr>
            <w:tcW w:w="6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Langley Steinert</w:t>
            </w:r>
            <w:r>
              <w:rPr>
                <w:rFonts w:ascii="Arial" w:cs="Arial" w:eastAsia="Arial" w:hAnsi="Arial"/>
                <w:sz w:val="14"/>
                <w:szCs w:val="14"/>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0"/>
                <w:szCs w:val="10"/>
                <w:color w:val="auto"/>
              </w:rPr>
              <w:t>13,513,525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18.1</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20,391,732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72.3</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33.0</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61.0</w:t>
            </w:r>
          </w:p>
        </w:tc>
        <w:tc>
          <w:tcPr>
            <w:tcW w:w="700" w:type="dxa"/>
            <w:vAlign w:val="bottom"/>
            <w:gridSpan w:val="3"/>
          </w:tcPr>
          <w:p>
            <w:pPr>
              <w:jc w:val="right"/>
              <w:ind w:right="20"/>
              <w:spacing w:after="0" w:line="126" w:lineRule="exact"/>
              <w:rPr>
                <w:sz w:val="20"/>
                <w:szCs w:val="20"/>
                <w:color w:val="auto"/>
              </w:rPr>
            </w:pPr>
            <w:r>
              <w:rPr>
                <w:rFonts w:ascii="Arial" w:cs="Arial" w:eastAsia="Arial" w:hAnsi="Arial"/>
                <w:sz w:val="10"/>
                <w:szCs w:val="10"/>
                <w:color w:val="auto"/>
              </w:rPr>
              <w:t>3,390,524</w:t>
            </w:r>
            <w:r>
              <w:rPr>
                <w:rFonts w:ascii="Arial" w:cs="Arial" w:eastAsia="Arial" w:hAnsi="Arial"/>
                <w:sz w:val="14"/>
                <w:szCs w:val="14"/>
                <w:color w:val="auto"/>
                <w:vertAlign w:val="superscript"/>
              </w:rPr>
              <w:t>(14)</w:t>
            </w:r>
          </w:p>
        </w:tc>
        <w:tc>
          <w:tcPr>
            <w:tcW w:w="560" w:type="dxa"/>
            <w:vAlign w:val="bottom"/>
          </w:tcPr>
          <w:p>
            <w:pPr>
              <w:jc w:val="right"/>
              <w:spacing w:after="0"/>
              <w:rPr>
                <w:sz w:val="20"/>
                <w:szCs w:val="20"/>
                <w:color w:val="auto"/>
              </w:rPr>
            </w:pPr>
            <w:r>
              <w:rPr>
                <w:rFonts w:ascii="Arial" w:cs="Arial" w:eastAsia="Arial" w:hAnsi="Arial"/>
                <w:sz w:val="10"/>
                <w:szCs w:val="10"/>
                <w:color w:val="auto"/>
              </w:rPr>
              <w:t>10,123,001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13.1</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20,391,732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72.3</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29.0</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59.6</w:t>
            </w: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6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Jason Trevisan</w:t>
            </w:r>
          </w:p>
        </w:tc>
        <w:tc>
          <w:tcPr>
            <w:tcW w:w="62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Samuel Zales</w:t>
            </w:r>
            <w:r>
              <w:rPr>
                <w:rFonts w:ascii="Arial" w:cs="Arial" w:eastAsia="Arial" w:hAnsi="Arial"/>
                <w:sz w:val="14"/>
                <w:szCs w:val="14"/>
                <w:color w:val="auto"/>
                <w:vertAlign w:val="superscript"/>
              </w:rPr>
              <w:t>(3)</w:t>
            </w:r>
          </w:p>
        </w:tc>
        <w:tc>
          <w:tcPr>
            <w:tcW w:w="540" w:type="dxa"/>
            <w:vAlign w:val="bottom"/>
          </w:tcPr>
          <w:p>
            <w:pPr>
              <w:jc w:val="right"/>
              <w:spacing w:after="0"/>
              <w:rPr>
                <w:sz w:val="20"/>
                <w:szCs w:val="20"/>
                <w:color w:val="auto"/>
              </w:rPr>
            </w:pPr>
            <w:r>
              <w:rPr>
                <w:rFonts w:ascii="Arial" w:cs="Arial" w:eastAsia="Arial" w:hAnsi="Arial"/>
                <w:sz w:val="10"/>
                <w:szCs w:val="10"/>
                <w:color w:val="auto"/>
              </w:rPr>
              <w:t>191,516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383,032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1.3</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191,516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383,032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1.3</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6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Stephen Kaufer</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1,242,742</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1.4</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1,242,742</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1.4</w:t>
            </w: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Anastasios Parafestas</w:t>
            </w:r>
            <w:r>
              <w:rPr>
                <w:rFonts w:ascii="Arial" w:cs="Arial" w:eastAsia="Arial" w:hAnsi="Arial"/>
                <w:sz w:val="14"/>
                <w:szCs w:val="14"/>
                <w:color w:val="auto"/>
                <w:vertAlign w:val="superscript"/>
              </w:rPr>
              <w:t>(4)</w:t>
            </w:r>
          </w:p>
        </w:tc>
        <w:tc>
          <w:tcPr>
            <w:tcW w:w="540" w:type="dxa"/>
            <w:vAlign w:val="bottom"/>
          </w:tcPr>
          <w:p>
            <w:pPr>
              <w:jc w:val="right"/>
              <w:spacing w:after="0"/>
              <w:rPr>
                <w:sz w:val="20"/>
                <w:szCs w:val="20"/>
                <w:color w:val="auto"/>
              </w:rPr>
            </w:pPr>
            <w:r>
              <w:rPr>
                <w:rFonts w:ascii="Arial" w:cs="Arial" w:eastAsia="Arial" w:hAnsi="Arial"/>
                <w:sz w:val="10"/>
                <w:szCs w:val="10"/>
                <w:color w:val="auto"/>
              </w:rPr>
              <w:t>26,788,731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35.9</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26.2</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8.1</w:t>
            </w:r>
          </w:p>
        </w:tc>
        <w:tc>
          <w:tcPr>
            <w:tcW w:w="700" w:type="dxa"/>
            <w:vAlign w:val="bottom"/>
            <w:gridSpan w:val="3"/>
          </w:tcPr>
          <w:p>
            <w:pPr>
              <w:jc w:val="right"/>
              <w:ind w:right="20"/>
              <w:spacing w:after="0" w:line="126" w:lineRule="exact"/>
              <w:rPr>
                <w:sz w:val="20"/>
                <w:szCs w:val="20"/>
                <w:color w:val="auto"/>
              </w:rPr>
            </w:pPr>
            <w:r>
              <w:rPr>
                <w:rFonts w:ascii="Arial" w:cs="Arial" w:eastAsia="Arial" w:hAnsi="Arial"/>
                <w:sz w:val="10"/>
                <w:szCs w:val="10"/>
                <w:color w:val="auto"/>
              </w:rPr>
              <w:t>2,366,000</w:t>
            </w:r>
            <w:r>
              <w:rPr>
                <w:rFonts w:ascii="Arial" w:cs="Arial" w:eastAsia="Arial" w:hAnsi="Arial"/>
                <w:sz w:val="14"/>
                <w:szCs w:val="14"/>
                <w:color w:val="auto"/>
                <w:vertAlign w:val="superscript"/>
              </w:rPr>
              <w:t>(15)</w:t>
            </w:r>
          </w:p>
        </w:tc>
        <w:tc>
          <w:tcPr>
            <w:tcW w:w="560" w:type="dxa"/>
            <w:vAlign w:val="bottom"/>
          </w:tcPr>
          <w:p>
            <w:pPr>
              <w:jc w:val="right"/>
              <w:spacing w:after="0"/>
              <w:rPr>
                <w:sz w:val="20"/>
                <w:szCs w:val="20"/>
                <w:color w:val="auto"/>
              </w:rPr>
            </w:pPr>
            <w:r>
              <w:rPr>
                <w:rFonts w:ascii="Arial" w:cs="Arial" w:eastAsia="Arial" w:hAnsi="Arial"/>
                <w:sz w:val="10"/>
                <w:szCs w:val="10"/>
                <w:color w:val="auto"/>
              </w:rPr>
              <w:t>24,422,731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31.7</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23.4</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6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David Parker</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1,152,136</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1.3</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144,204</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1,007,932</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w:t>
            </w: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r>
      <w:tr>
        <w:trPr>
          <w:trHeight w:val="108"/>
        </w:trPr>
        <w:tc>
          <w:tcPr>
            <w:tcW w:w="2680" w:type="dxa"/>
            <w:vAlign w:val="bottom"/>
            <w:gridSpan w:val="4"/>
          </w:tcPr>
          <w:p>
            <w:pPr>
              <w:spacing w:after="0" w:line="108" w:lineRule="exact"/>
              <w:rPr>
                <w:sz w:val="20"/>
                <w:szCs w:val="20"/>
                <w:color w:val="auto"/>
              </w:rPr>
            </w:pPr>
            <w:r>
              <w:rPr>
                <w:rFonts w:ascii="Arial" w:cs="Arial" w:eastAsia="Arial" w:hAnsi="Arial"/>
                <w:sz w:val="10"/>
                <w:szCs w:val="10"/>
                <w:color w:val="auto"/>
              </w:rPr>
              <w:t>Simon Rothman</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385,684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385,684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200,000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Ian Smith</w:t>
            </w:r>
            <w:r>
              <w:rPr>
                <w:rFonts w:ascii="Arial" w:cs="Arial" w:eastAsia="Arial" w:hAnsi="Arial"/>
                <w:sz w:val="14"/>
                <w:szCs w:val="14"/>
                <w:color w:val="auto"/>
                <w:vertAlign w:val="superscript"/>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805,992</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187,440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805,992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187,440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r>
      <w:tr>
        <w:trPr>
          <w:trHeight w:val="108"/>
        </w:trPr>
        <w:tc>
          <w:tcPr>
            <w:tcW w:w="2680" w:type="dxa"/>
            <w:vAlign w:val="bottom"/>
            <w:gridSpan w:val="4"/>
          </w:tcPr>
          <w:p>
            <w:pPr>
              <w:spacing w:after="0" w:line="108" w:lineRule="exact"/>
              <w:rPr>
                <w:sz w:val="20"/>
                <w:szCs w:val="20"/>
                <w:color w:val="auto"/>
              </w:rPr>
            </w:pPr>
            <w:r>
              <w:rPr>
                <w:rFonts w:ascii="Arial" w:cs="Arial" w:eastAsia="Arial" w:hAnsi="Arial"/>
                <w:sz w:val="10"/>
                <w:szCs w:val="10"/>
                <w:color w:val="auto"/>
              </w:rPr>
              <w:t>All executive officers and directors as a group (8 persons)</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44,080,326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w w:val="92"/>
              </w:rPr>
              <w:t>58.9</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21,762,204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w w:val="92"/>
              </w:rPr>
              <w:t>76.2</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63.7</w:t>
            </w:r>
          </w:p>
        </w:tc>
        <w:tc>
          <w:tcPr>
            <w:tcW w:w="5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72.6</w:t>
            </w:r>
          </w:p>
        </w:tc>
        <w:tc>
          <w:tcPr>
            <w:tcW w:w="5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5,900,728</w:t>
            </w: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38,179,598</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w w:val="92"/>
              </w:rPr>
              <w:t>49.4</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21,762,204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w w:val="92"/>
              </w:rPr>
              <w:t>76.2</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56.6</w:t>
            </w: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70.4</w:t>
            </w:r>
          </w:p>
        </w:tc>
        <w:tc>
          <w:tcPr>
            <w:tcW w:w="100" w:type="dxa"/>
            <w:vAlign w:val="bottom"/>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26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5% Stockholders and Selling Stockholders:</w:t>
            </w: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Allen &amp; Company LLC</w:t>
            </w:r>
            <w:r>
              <w:rPr>
                <w:rFonts w:ascii="Arial" w:cs="Arial" w:eastAsia="Arial" w:hAnsi="Arial"/>
                <w:sz w:val="14"/>
                <w:szCs w:val="14"/>
                <w:color w:val="auto"/>
                <w:vertAlign w:val="superscript"/>
              </w:rPr>
              <w:t>(6)</w:t>
            </w:r>
          </w:p>
        </w:tc>
        <w:tc>
          <w:tcPr>
            <w:tcW w:w="540" w:type="dxa"/>
            <w:vAlign w:val="bottom"/>
          </w:tcPr>
          <w:p>
            <w:pPr>
              <w:jc w:val="right"/>
              <w:spacing w:after="0"/>
              <w:rPr>
                <w:sz w:val="20"/>
                <w:szCs w:val="20"/>
                <w:color w:val="auto"/>
              </w:rPr>
            </w:pPr>
            <w:r>
              <w:rPr>
                <w:rFonts w:ascii="Arial" w:cs="Arial" w:eastAsia="Arial" w:hAnsi="Arial"/>
                <w:sz w:val="10"/>
                <w:szCs w:val="10"/>
                <w:color w:val="auto"/>
              </w:rPr>
              <w:t>5,679,601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7.6</w:t>
            </w:r>
          </w:p>
        </w:tc>
        <w:tc>
          <w:tcPr>
            <w:tcW w:w="6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5.5</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5,679,601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7.4</w:t>
            </w:r>
          </w:p>
        </w:tc>
        <w:tc>
          <w:tcPr>
            <w:tcW w:w="60" w:type="dxa"/>
            <w:vAlign w:val="bottom"/>
          </w:tcPr>
          <w:p>
            <w:pPr>
              <w:spacing w:after="0"/>
              <w:rPr>
                <w:sz w:val="10"/>
                <w:szCs w:val="1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5.4</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Argonaut 22 LLC</w:t>
            </w:r>
            <w:r>
              <w:rPr>
                <w:rFonts w:ascii="Arial" w:cs="Arial" w:eastAsia="Arial" w:hAnsi="Arial"/>
                <w:sz w:val="14"/>
                <w:szCs w:val="14"/>
                <w:color w:val="auto"/>
                <w:vertAlign w:val="superscript"/>
              </w:rPr>
              <w:t>(7)</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15,231,219</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2"/>
              </w:rPr>
              <w:t>20.4</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1,523,000</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13,708,219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2"/>
              </w:rPr>
              <w:t>17.8</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T. Rowe Price, and its affiliated funds</w:t>
            </w:r>
            <w:r>
              <w:rPr>
                <w:rFonts w:ascii="Arial" w:cs="Arial" w:eastAsia="Arial" w:hAnsi="Arial"/>
                <w:sz w:val="14"/>
                <w:szCs w:val="14"/>
                <w:color w:val="auto"/>
                <w:vertAlign w:val="superscript"/>
              </w:rPr>
              <w:t>(8)</w:t>
            </w:r>
          </w:p>
        </w:tc>
        <w:tc>
          <w:tcPr>
            <w:tcW w:w="540" w:type="dxa"/>
            <w:vAlign w:val="bottom"/>
          </w:tcPr>
          <w:p>
            <w:pPr>
              <w:jc w:val="right"/>
              <w:spacing w:after="0"/>
              <w:rPr>
                <w:sz w:val="20"/>
                <w:szCs w:val="20"/>
                <w:color w:val="auto"/>
              </w:rPr>
            </w:pPr>
            <w:r>
              <w:rPr>
                <w:rFonts w:ascii="Arial" w:cs="Arial" w:eastAsia="Arial" w:hAnsi="Arial"/>
                <w:sz w:val="10"/>
                <w:szCs w:val="10"/>
                <w:color w:val="auto"/>
              </w:rPr>
              <w:t>11,699,453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15.7</w:t>
            </w:r>
          </w:p>
        </w:tc>
        <w:tc>
          <w:tcPr>
            <w:tcW w:w="6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11.4</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3.3</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11,699,453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w w:val="92"/>
              </w:rPr>
              <w:t>15.2</w:t>
            </w:r>
          </w:p>
        </w:tc>
        <w:tc>
          <w:tcPr>
            <w:tcW w:w="60" w:type="dxa"/>
            <w:vAlign w:val="bottom"/>
          </w:tcPr>
          <w:p>
            <w:pPr>
              <w:spacing w:after="0"/>
              <w:rPr>
                <w:sz w:val="10"/>
                <w:szCs w:val="1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11.1</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6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Nicholas Shanny</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1,610,990</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2,293,348</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8.1</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3.8</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6.9</w:t>
            </w:r>
          </w:p>
        </w:tc>
        <w:tc>
          <w:tcPr>
            <w:tcW w:w="5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399,423</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1,211,567</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2,293,348</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8.1</w:t>
            </w: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3.3</w:t>
            </w: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6.7</w:t>
            </w:r>
          </w:p>
        </w:tc>
        <w:tc>
          <w:tcPr>
            <w:tcW w:w="100" w:type="dxa"/>
            <w:vAlign w:val="bottom"/>
            <w:shd w:val="clear" w:color="auto" w:fill="CCEEFF"/>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Promerica Capital LLC</w:t>
            </w:r>
            <w:r>
              <w:rPr>
                <w:rFonts w:ascii="Arial" w:cs="Arial" w:eastAsia="Arial" w:hAnsi="Arial"/>
                <w:sz w:val="14"/>
                <w:szCs w:val="14"/>
                <w:color w:val="auto"/>
                <w:vertAlign w:val="superscript"/>
              </w:rPr>
              <w:t>(9)</w:t>
            </w:r>
          </w:p>
        </w:tc>
        <w:tc>
          <w:tcPr>
            <w:tcW w:w="540" w:type="dxa"/>
            <w:vAlign w:val="bottom"/>
          </w:tcPr>
          <w:p>
            <w:pPr>
              <w:jc w:val="right"/>
              <w:spacing w:after="0"/>
              <w:rPr>
                <w:sz w:val="20"/>
                <w:szCs w:val="20"/>
                <w:color w:val="auto"/>
              </w:rPr>
            </w:pPr>
            <w:r>
              <w:rPr>
                <w:rFonts w:ascii="Arial" w:cs="Arial" w:eastAsia="Arial" w:hAnsi="Arial"/>
                <w:sz w:val="10"/>
                <w:szCs w:val="10"/>
                <w:color w:val="auto"/>
              </w:rPr>
              <w:t>4,584,007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6.1</w:t>
            </w:r>
          </w:p>
        </w:tc>
        <w:tc>
          <w:tcPr>
            <w:tcW w:w="6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4.5</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1.3</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458,000</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4,126,007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5.3</w:t>
            </w:r>
          </w:p>
        </w:tc>
        <w:tc>
          <w:tcPr>
            <w:tcW w:w="60" w:type="dxa"/>
            <w:vAlign w:val="bottom"/>
          </w:tcPr>
          <w:p>
            <w:pPr>
              <w:spacing w:after="0"/>
              <w:rPr>
                <w:sz w:val="10"/>
                <w:szCs w:val="1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3.9</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GC Holdings Investors LLC</w:t>
            </w:r>
            <w:r>
              <w:rPr>
                <w:rFonts w:ascii="Arial" w:cs="Arial" w:eastAsia="Arial" w:hAnsi="Arial"/>
                <w:sz w:val="14"/>
                <w:szCs w:val="14"/>
                <w:color w:val="auto"/>
                <w:vertAlign w:val="superscript"/>
              </w:rPr>
              <w:t>(10)</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3,858,091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385,000</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3,473,091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0"/>
                <w:szCs w:val="10"/>
                <w:color w:val="auto"/>
              </w:rPr>
            </w:pPr>
          </w:p>
        </w:tc>
      </w:tr>
      <w:tr>
        <w:trPr>
          <w:trHeight w:val="108"/>
        </w:trPr>
        <w:tc>
          <w:tcPr>
            <w:tcW w:w="2680" w:type="dxa"/>
            <w:vAlign w:val="bottom"/>
            <w:gridSpan w:val="4"/>
          </w:tcPr>
          <w:p>
            <w:pPr>
              <w:spacing w:after="0" w:line="108" w:lineRule="exact"/>
              <w:rPr>
                <w:sz w:val="20"/>
                <w:szCs w:val="20"/>
                <w:color w:val="auto"/>
              </w:rPr>
            </w:pPr>
            <w:r>
              <w:rPr>
                <w:rFonts w:ascii="Arial" w:cs="Arial" w:eastAsia="Arial" w:hAnsi="Arial"/>
                <w:sz w:val="10"/>
                <w:szCs w:val="10"/>
                <w:color w:val="auto"/>
              </w:rPr>
              <w:t>David Blundin</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928,626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1.2</w:t>
            </w:r>
          </w:p>
        </w:tc>
        <w:tc>
          <w:tcPr>
            <w:tcW w:w="60" w:type="dxa"/>
            <w:vAlign w:val="bottom"/>
          </w:tcPr>
          <w:p>
            <w:pPr>
              <w:spacing w:after="0"/>
              <w:rPr>
                <w:sz w:val="9"/>
                <w:szCs w:val="9"/>
                <w:color w:val="auto"/>
              </w:rPr>
            </w:pPr>
          </w:p>
        </w:tc>
        <w:tc>
          <w:tcPr>
            <w:tcW w:w="6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101,853</w:t>
            </w: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826,773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1.1</w:t>
            </w:r>
          </w:p>
        </w:tc>
        <w:tc>
          <w:tcPr>
            <w:tcW w:w="60" w:type="dxa"/>
            <w:vAlign w:val="bottom"/>
          </w:tcPr>
          <w:p>
            <w:pPr>
              <w:spacing w:after="0"/>
              <w:rPr>
                <w:sz w:val="9"/>
                <w:szCs w:val="9"/>
                <w:color w:val="auto"/>
              </w:rPr>
            </w:pPr>
          </w:p>
        </w:tc>
        <w:tc>
          <w:tcPr>
            <w:tcW w:w="640" w:type="dxa"/>
            <w:vAlign w:val="bottom"/>
            <w:gridSpan w:val="3"/>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Oliver Chrzan</w:t>
            </w:r>
            <w:r>
              <w:rPr>
                <w:rFonts w:ascii="Arial" w:cs="Arial" w:eastAsia="Arial" w:hAnsi="Arial"/>
                <w:sz w:val="14"/>
                <w:szCs w:val="14"/>
                <w:color w:val="auto"/>
                <w:vertAlign w:val="superscript"/>
              </w:rPr>
              <w:t>(11)</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902,644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1,805,288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270,793</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631,851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1,805,288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tcPr>
          <w:p>
            <w:pPr>
              <w:spacing w:after="0" w:line="126" w:lineRule="exact"/>
              <w:rPr>
                <w:sz w:val="20"/>
                <w:szCs w:val="20"/>
                <w:color w:val="auto"/>
              </w:rPr>
            </w:pPr>
            <w:r>
              <w:rPr>
                <w:rFonts w:ascii="Arial" w:cs="Arial" w:eastAsia="Arial" w:hAnsi="Arial"/>
                <w:sz w:val="10"/>
                <w:szCs w:val="10"/>
                <w:color w:val="auto"/>
              </w:rPr>
              <w:t>Igor Kaplansky</w:t>
            </w:r>
            <w:r>
              <w:rPr>
                <w:rFonts w:ascii="Arial" w:cs="Arial" w:eastAsia="Arial" w:hAnsi="Arial"/>
                <w:sz w:val="14"/>
                <w:szCs w:val="14"/>
                <w:color w:val="auto"/>
                <w:vertAlign w:val="superscript"/>
              </w:rPr>
              <w:t>(12)</w:t>
            </w:r>
          </w:p>
        </w:tc>
        <w:tc>
          <w:tcPr>
            <w:tcW w:w="540" w:type="dxa"/>
            <w:vAlign w:val="bottom"/>
          </w:tcPr>
          <w:p>
            <w:pPr>
              <w:jc w:val="right"/>
              <w:spacing w:after="0"/>
              <w:rPr>
                <w:sz w:val="20"/>
                <w:szCs w:val="20"/>
                <w:color w:val="auto"/>
              </w:rPr>
            </w:pPr>
            <w:r>
              <w:rPr>
                <w:rFonts w:ascii="Arial" w:cs="Arial" w:eastAsia="Arial" w:hAnsi="Arial"/>
                <w:sz w:val="10"/>
                <w:szCs w:val="10"/>
                <w:color w:val="auto"/>
              </w:rPr>
              <w:t>449,660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899,320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3.2</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1.3</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2.6</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133,758</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315,902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899,320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3.2</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1.2</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660" w:type="dxa"/>
            <w:vAlign w:val="bottom"/>
            <w:gridSpan w:val="3"/>
            <w:shd w:val="clear" w:color="auto" w:fill="CCEEFF"/>
          </w:tcPr>
          <w:p>
            <w:pPr>
              <w:spacing w:after="0" w:line="126" w:lineRule="exact"/>
              <w:rPr>
                <w:sz w:val="20"/>
                <w:szCs w:val="20"/>
                <w:color w:val="auto"/>
              </w:rPr>
            </w:pPr>
            <w:r>
              <w:rPr>
                <w:rFonts w:ascii="Arial" w:cs="Arial" w:eastAsia="Arial" w:hAnsi="Arial"/>
                <w:sz w:val="10"/>
                <w:szCs w:val="10"/>
                <w:color w:val="auto"/>
              </w:rPr>
              <w:t>Jasper Rosenberg</w:t>
            </w:r>
            <w:r>
              <w:rPr>
                <w:rFonts w:ascii="Arial" w:cs="Arial" w:eastAsia="Arial" w:hAnsi="Arial"/>
                <w:sz w:val="14"/>
                <w:szCs w:val="14"/>
                <w:color w:val="auto"/>
                <w:vertAlign w:val="superscript"/>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230,064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460,128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68,844</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161,220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460,128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0"/>
                <w:szCs w:val="10"/>
                <w:color w:val="auto"/>
              </w:rPr>
            </w:pPr>
          </w:p>
        </w:tc>
      </w:tr>
      <w:tr>
        <w:trPr>
          <w:trHeight w:val="118"/>
        </w:trPr>
        <w:tc>
          <w:tcPr>
            <w:tcW w:w="2680" w:type="dxa"/>
            <w:vAlign w:val="bottom"/>
            <w:gridSpan w:val="4"/>
          </w:tcPr>
          <w:p>
            <w:pPr>
              <w:spacing w:after="0"/>
              <w:rPr>
                <w:sz w:val="20"/>
                <w:szCs w:val="20"/>
                <w:color w:val="auto"/>
              </w:rPr>
            </w:pPr>
            <w:r>
              <w:rPr>
                <w:rFonts w:ascii="Arial" w:cs="Arial" w:eastAsia="Arial" w:hAnsi="Arial"/>
                <w:sz w:val="10"/>
                <w:szCs w:val="10"/>
                <w:color w:val="auto"/>
              </w:rPr>
              <w:t>Yoav Shapira</w:t>
            </w:r>
          </w:p>
        </w:tc>
        <w:tc>
          <w:tcPr>
            <w:tcW w:w="540" w:type="dxa"/>
            <w:vAlign w:val="bottom"/>
          </w:tcPr>
          <w:p>
            <w:pPr>
              <w:jc w:val="right"/>
              <w:spacing w:after="0"/>
              <w:rPr>
                <w:sz w:val="20"/>
                <w:szCs w:val="20"/>
                <w:color w:val="auto"/>
              </w:rPr>
            </w:pPr>
            <w:r>
              <w:rPr>
                <w:rFonts w:ascii="Arial" w:cs="Arial" w:eastAsia="Arial" w:hAnsi="Arial"/>
                <w:sz w:val="10"/>
                <w:szCs w:val="10"/>
                <w:color w:val="auto"/>
              </w:rPr>
              <w:t>164,008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328,016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1.2</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24,601</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139,407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328,016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1.2</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0"/>
                <w:szCs w:val="10"/>
                <w:color w:val="auto"/>
              </w:rPr>
            </w:pPr>
          </w:p>
        </w:tc>
      </w:tr>
      <w:tr>
        <w:trPr>
          <w:trHeight w:val="62"/>
        </w:trPr>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9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101" w:lineRule="exact"/>
        <w:rPr>
          <w:sz w:val="20"/>
          <w:szCs w:val="20"/>
          <w:color w:val="auto"/>
        </w:rPr>
      </w:pPr>
    </w:p>
    <w:p>
      <w:pPr>
        <w:ind w:left="1500" w:hanging="360"/>
        <w:spacing w:after="0"/>
        <w:tabs>
          <w:tab w:leader="none" w:pos="1500" w:val="left"/>
        </w:tabs>
        <w:numPr>
          <w:ilvl w:val="0"/>
          <w:numId w:val="82"/>
        </w:numPr>
        <w:rPr>
          <w:rFonts w:ascii="Arial" w:cs="Arial" w:eastAsia="Arial" w:hAnsi="Arial"/>
          <w:sz w:val="14"/>
          <w:szCs w:val="14"/>
          <w:color w:val="auto"/>
          <w:vertAlign w:val="superscript"/>
        </w:rPr>
      </w:pPr>
      <w:r>
        <w:rPr>
          <w:rFonts w:ascii="Arial" w:cs="Arial" w:eastAsia="Arial" w:hAnsi="Arial"/>
          <w:sz w:val="10"/>
          <w:szCs w:val="10"/>
          <w:color w:val="auto"/>
        </w:rPr>
        <w:t>Less than 1%.</w:t>
      </w:r>
    </w:p>
    <w:p>
      <w:pPr>
        <w:spacing w:after="0" w:line="101" w:lineRule="exact"/>
        <w:rPr>
          <w:sz w:val="20"/>
          <w:szCs w:val="20"/>
          <w:color w:val="auto"/>
        </w:rPr>
      </w:pPr>
    </w:p>
    <w:p>
      <w:pPr>
        <w:ind w:left="1500" w:right="20" w:hanging="360"/>
        <w:spacing w:after="0" w:line="211" w:lineRule="auto"/>
        <w:tabs>
          <w:tab w:leader="none" w:pos="1500" w:val="left"/>
        </w:tabs>
        <w:numPr>
          <w:ilvl w:val="0"/>
          <w:numId w:val="83"/>
        </w:numPr>
        <w:rPr>
          <w:rFonts w:ascii="Arial" w:cs="Arial" w:eastAsia="Arial" w:hAnsi="Arial"/>
          <w:sz w:val="13"/>
          <w:szCs w:val="13"/>
          <w:color w:val="auto"/>
          <w:vertAlign w:val="superscript"/>
        </w:rPr>
      </w:pPr>
      <w:r>
        <w:rPr>
          <w:rFonts w:ascii="Arial" w:cs="Arial" w:eastAsia="Arial" w:hAnsi="Arial"/>
          <w:sz w:val="9"/>
          <w:szCs w:val="9"/>
          <w:color w:val="auto"/>
        </w:rPr>
        <w:t>Percentage of total voting power represents voting power with respect to all shares of our Class A and Class B common, as a single class. The holders of our Class B common stock are entitled to ten votes per share, and holders of our Class A common stock are entitled to one vote per share. For more information about the voting rights of our Class A and Class B common stock, see "Description of Capital Stock — Class A and Class B Common Stock."</w:t>
      </w:r>
    </w:p>
    <w:p>
      <w:pPr>
        <w:spacing w:after="0" w:line="101" w:lineRule="exact"/>
        <w:rPr>
          <w:rFonts w:ascii="Arial" w:cs="Arial" w:eastAsia="Arial" w:hAnsi="Arial"/>
          <w:sz w:val="13"/>
          <w:szCs w:val="13"/>
          <w:color w:val="auto"/>
          <w:vertAlign w:val="superscript"/>
        </w:rPr>
      </w:pPr>
    </w:p>
    <w:p>
      <w:pPr>
        <w:ind w:left="1500" w:hanging="360"/>
        <w:spacing w:after="0" w:line="215" w:lineRule="auto"/>
        <w:tabs>
          <w:tab w:leader="none" w:pos="1500" w:val="left"/>
        </w:tabs>
        <w:numPr>
          <w:ilvl w:val="0"/>
          <w:numId w:val="83"/>
        </w:numPr>
        <w:rPr>
          <w:rFonts w:ascii="Arial" w:cs="Arial" w:eastAsia="Arial" w:hAnsi="Arial"/>
          <w:sz w:val="14"/>
          <w:szCs w:val="14"/>
          <w:color w:val="auto"/>
          <w:vertAlign w:val="superscript"/>
        </w:rPr>
      </w:pPr>
      <w:r>
        <w:rPr>
          <w:rFonts w:ascii="Arial" w:cs="Arial" w:eastAsia="Arial" w:hAnsi="Arial"/>
          <w:sz w:val="10"/>
          <w:szCs w:val="10"/>
          <w:color w:val="auto"/>
        </w:rPr>
        <w:t>Consists of (a) 30,652,537 shares held of record by Mr. Steinert, (b) 3,128,304 shares held of record by The Langley Steinert Irrevocable Family Trust dated June 21, 2004, of which Mr. Steinert's children are the beneficiaries, (c) 31,104 shares held of record by The Langley Steinert Irrevocable Trust — 2014 f/b/o Ailsa Steinert, of which Mr. Steinert's mother is the beneficiary, (d) 31,104 shares held of record by The Langley Steinert Irrevocable Trust — 2014 f/b/o Arthur Steinert, of which Mr. Steinert's brother is the beneficiary, (e) 31,104 shares held of record by The Langley Steinert Irrevocable Trust — 2014 f/b/o Gail Barnett, of which Mr. Steinert's mother-in-law is the beneficiary, and (f) 31,104 shares held of record by The Langley Steinert Irrevocable Trust — 2014 f/b/o Russell Steinert, of which Mr. Steinert's brother is the beneficiary. Mr. Steinert is neither trustee for nor beneficiary of any of the trusts aforementioned. However, Mr. Steinert may be deemed to be the beneficial owner of the shares held of record by each of The Langley Steinert Irrevocable Family Trust dated June 21, 2004, The Langley Steinert Irrevocable Trust — 2014 f/b/o Ailsa Steinert, The Langley Steinert Irrevocable Trust — 2014 f/b/o Arthur Steinert, The Langley Steinert Irrevocable Trust — 2014 f/b/o Gail Barnett, and The Langley Steinert Irrevocable Trust — 2014 f/b/o Russell Steinert. Mr. Steinert expressly disclaims beneficial ownership of such shares held by the trusts.</w:t>
      </w:r>
    </w:p>
    <w:p>
      <w:pPr>
        <w:spacing w:after="0" w:line="56"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83"/>
        </w:numPr>
        <w:rPr>
          <w:rFonts w:ascii="Arial" w:cs="Arial" w:eastAsia="Arial" w:hAnsi="Arial"/>
          <w:sz w:val="14"/>
          <w:szCs w:val="14"/>
          <w:color w:val="auto"/>
          <w:vertAlign w:val="superscript"/>
        </w:rPr>
      </w:pPr>
      <w:r>
        <w:rPr>
          <w:rFonts w:ascii="Arial" w:cs="Arial" w:eastAsia="Arial" w:hAnsi="Arial"/>
          <w:sz w:val="10"/>
          <w:szCs w:val="10"/>
          <w:color w:val="auto"/>
        </w:rPr>
        <w:t>Consists of 191,516 shares of Class A common stock and 383,032 shares of Class B common stock underlying options that are exercisable within 60 days of September 25, 2017.</w:t>
      </w:r>
    </w:p>
    <w:p>
      <w:pPr>
        <w:spacing w:after="0" w:line="101" w:lineRule="exact"/>
        <w:rPr>
          <w:rFonts w:ascii="Arial" w:cs="Arial" w:eastAsia="Arial" w:hAnsi="Arial"/>
          <w:sz w:val="14"/>
          <w:szCs w:val="14"/>
          <w:color w:val="auto"/>
          <w:vertAlign w:val="superscript"/>
        </w:rPr>
      </w:pPr>
    </w:p>
    <w:p>
      <w:pPr>
        <w:ind w:left="1500" w:right="380" w:hanging="360"/>
        <w:spacing w:after="0" w:line="205" w:lineRule="auto"/>
        <w:tabs>
          <w:tab w:leader="none" w:pos="1500" w:val="left"/>
        </w:tabs>
        <w:numPr>
          <w:ilvl w:val="0"/>
          <w:numId w:val="83"/>
        </w:numPr>
        <w:rPr>
          <w:rFonts w:ascii="Arial" w:cs="Arial" w:eastAsia="Arial" w:hAnsi="Arial"/>
          <w:sz w:val="13"/>
          <w:szCs w:val="13"/>
          <w:color w:val="auto"/>
          <w:vertAlign w:val="superscript"/>
        </w:rPr>
      </w:pPr>
      <w:r>
        <w:rPr>
          <w:rFonts w:ascii="Arial" w:cs="Arial" w:eastAsia="Arial" w:hAnsi="Arial"/>
          <w:sz w:val="9"/>
          <w:szCs w:val="9"/>
          <w:color w:val="auto"/>
        </w:rPr>
        <w:t>Consists of (a) 300,000 shares held of record by Mr. Parafestas, (b) 15,231,219 shares held of record by Argonaut 22 LLC, with respect to which Mr. Parafestas has sole investment power, (c) 4,584,007 shares held of record by Promerica Capital LLC, with respect to which Mr. Parafestas has sole investment power, (d) 3,858,091 shares held of record by GC Holdings Investors LLC, with respect to which Mr. Parafestas has sole investment power, and</w:t>
      </w:r>
    </w:p>
    <w:p>
      <w:pPr>
        <w:ind w:left="1500"/>
        <w:spacing w:after="0"/>
        <w:rPr>
          <w:rFonts w:ascii="Arial" w:cs="Arial" w:eastAsia="Arial" w:hAnsi="Arial"/>
          <w:sz w:val="13"/>
          <w:szCs w:val="13"/>
          <w:color w:val="auto"/>
          <w:vertAlign w:val="superscript"/>
        </w:rPr>
      </w:pPr>
      <w:r>
        <w:rPr>
          <w:rFonts w:ascii="Arial" w:cs="Arial" w:eastAsia="Arial" w:hAnsi="Arial"/>
          <w:sz w:val="8"/>
          <w:szCs w:val="8"/>
          <w:color w:val="auto"/>
        </w:rPr>
        <w:t>(e) 3,015,414 shares held of record by the RWS 2006 Family Trust, of which Mr. Parafestas is a co-trustee. Mr. Parafestas may be deemed to be the beneficial owner of the shares held of record by the RWS 2006 Family Trust.</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Mr. Parafestas expressly disclaims beneficial ownership of the shares held of record by the RWS 2006 Family Trust.</w:t>
      </w:r>
    </w:p>
    <w:p>
      <w:pPr>
        <w:spacing w:after="0" w:line="101" w:lineRule="exact"/>
        <w:rPr>
          <w:sz w:val="20"/>
          <w:szCs w:val="20"/>
          <w:color w:val="auto"/>
        </w:rPr>
      </w:pPr>
    </w:p>
    <w:p>
      <w:pPr>
        <w:ind w:left="1500" w:right="440" w:hanging="360"/>
        <w:spacing w:after="0" w:line="193" w:lineRule="auto"/>
        <w:tabs>
          <w:tab w:leader="none" w:pos="1500" w:val="left"/>
        </w:tabs>
        <w:numPr>
          <w:ilvl w:val="0"/>
          <w:numId w:val="84"/>
        </w:numPr>
        <w:rPr>
          <w:rFonts w:ascii="Arial" w:cs="Arial" w:eastAsia="Arial" w:hAnsi="Arial"/>
          <w:sz w:val="14"/>
          <w:szCs w:val="14"/>
          <w:color w:val="auto"/>
          <w:vertAlign w:val="superscript"/>
        </w:rPr>
      </w:pPr>
      <w:r>
        <w:rPr>
          <w:rFonts w:ascii="Arial" w:cs="Arial" w:eastAsia="Arial" w:hAnsi="Arial"/>
          <w:sz w:val="10"/>
          <w:szCs w:val="10"/>
          <w:color w:val="auto"/>
        </w:rPr>
        <w:t>Consists of 993,432 shares held of record by Mr. Smith. Mr. Smith is a Managing Director of Allen &amp; Company LLC. Mr. Smith does not have sole or shared voting or investment power with respect to the shares held by Allen &amp; Company LLC and expressly disclaims beneficial ownership of all shares held by Allen &amp; Company LLC.</w:t>
      </w:r>
    </w:p>
    <w:p>
      <w:pPr>
        <w:spacing w:after="0" w:line="102" w:lineRule="exact"/>
        <w:rPr>
          <w:rFonts w:ascii="Arial" w:cs="Arial" w:eastAsia="Arial" w:hAnsi="Arial"/>
          <w:sz w:val="14"/>
          <w:szCs w:val="14"/>
          <w:color w:val="auto"/>
          <w:vertAlign w:val="superscript"/>
        </w:rPr>
      </w:pPr>
    </w:p>
    <w:p>
      <w:pPr>
        <w:ind w:left="1500" w:hanging="360"/>
        <w:spacing w:after="0" w:line="203" w:lineRule="auto"/>
        <w:tabs>
          <w:tab w:leader="none" w:pos="1500" w:val="left"/>
        </w:tabs>
        <w:numPr>
          <w:ilvl w:val="0"/>
          <w:numId w:val="84"/>
        </w:numPr>
        <w:rPr>
          <w:rFonts w:ascii="Arial" w:cs="Arial" w:eastAsia="Arial" w:hAnsi="Arial"/>
          <w:sz w:val="14"/>
          <w:szCs w:val="14"/>
          <w:color w:val="auto"/>
          <w:vertAlign w:val="superscript"/>
        </w:rPr>
      </w:pPr>
      <w:r>
        <w:rPr>
          <w:rFonts w:ascii="Arial" w:cs="Arial" w:eastAsia="Arial" w:hAnsi="Arial"/>
          <w:sz w:val="10"/>
          <w:szCs w:val="10"/>
          <w:color w:val="auto"/>
        </w:rPr>
        <w:t>Consists of 5,679,601 shares held of record by Allen &amp; Company LLC. Ian Smith, a director of our company, is the Managing Director of Allen &amp; Company LLC, but Mr. Smith does not have sole or shared voting or investment power with respect to the shares held by Allen &amp; Company LLC and expressly disclaims all beneficial ownership of all shares held by Allen &amp; Company LLC. The principal address of Allen &amp; Company LLC is 711 Fifth Avenue, New York, New York 10022.</w:t>
      </w:r>
    </w:p>
    <w:p>
      <w:pPr>
        <w:spacing w:after="0" w:line="101" w:lineRule="exact"/>
        <w:rPr>
          <w:rFonts w:ascii="Arial" w:cs="Arial" w:eastAsia="Arial" w:hAnsi="Arial"/>
          <w:sz w:val="14"/>
          <w:szCs w:val="14"/>
          <w:color w:val="auto"/>
          <w:vertAlign w:val="superscript"/>
        </w:rPr>
      </w:pPr>
    </w:p>
    <w:p>
      <w:pPr>
        <w:ind w:left="1500" w:right="280" w:hanging="360"/>
        <w:spacing w:after="0" w:line="203" w:lineRule="auto"/>
        <w:tabs>
          <w:tab w:leader="none" w:pos="1500" w:val="left"/>
        </w:tabs>
        <w:numPr>
          <w:ilvl w:val="0"/>
          <w:numId w:val="84"/>
        </w:numPr>
        <w:rPr>
          <w:rFonts w:ascii="Arial" w:cs="Arial" w:eastAsia="Arial" w:hAnsi="Arial"/>
          <w:sz w:val="14"/>
          <w:szCs w:val="14"/>
          <w:color w:val="auto"/>
          <w:vertAlign w:val="superscript"/>
        </w:rPr>
      </w:pPr>
      <w:r>
        <w:rPr>
          <w:rFonts w:ascii="Arial" w:cs="Arial" w:eastAsia="Arial" w:hAnsi="Arial"/>
          <w:sz w:val="10"/>
          <w:szCs w:val="10"/>
          <w:color w:val="auto"/>
        </w:rPr>
        <w:t>Consists of 15,231,219 shares held of record by Argonaut 22 LLC. Anastasios Parafestas, a director of our company, is the Managing Member of Spinnaker Capital LLC, the Managing Member of Argonaut 22 LLC, and has sole investment power with respect to the shares held by Argonaut 22 LLC. Mr. Parafestas may be deemed to beneficially own the shares held by Argonaut 22 LLC. The principal address of Argonaut 22 LLC is One Joy Street, Boston, Massachusetts 02108.</w:t>
      </w:r>
    </w:p>
    <w:p>
      <w:pPr>
        <w:spacing w:after="0" w:line="101" w:lineRule="exact"/>
        <w:rPr>
          <w:rFonts w:ascii="Arial" w:cs="Arial" w:eastAsia="Arial" w:hAnsi="Arial"/>
          <w:sz w:val="14"/>
          <w:szCs w:val="14"/>
          <w:color w:val="auto"/>
          <w:vertAlign w:val="superscript"/>
        </w:rPr>
      </w:pPr>
    </w:p>
    <w:p>
      <w:pPr>
        <w:ind w:left="1500" w:right="80" w:hanging="360"/>
        <w:spacing w:after="0" w:line="205" w:lineRule="auto"/>
        <w:tabs>
          <w:tab w:leader="none" w:pos="1500" w:val="left"/>
        </w:tabs>
        <w:numPr>
          <w:ilvl w:val="0"/>
          <w:numId w:val="84"/>
        </w:numPr>
        <w:rPr>
          <w:rFonts w:ascii="Arial" w:cs="Arial" w:eastAsia="Arial" w:hAnsi="Arial"/>
          <w:sz w:val="13"/>
          <w:szCs w:val="13"/>
          <w:color w:val="auto"/>
          <w:vertAlign w:val="superscript"/>
        </w:rPr>
      </w:pPr>
      <w:r>
        <w:rPr>
          <w:rFonts w:ascii="Arial" w:cs="Arial" w:eastAsia="Arial" w:hAnsi="Arial"/>
          <w:sz w:val="9"/>
          <w:szCs w:val="9"/>
          <w:color w:val="auto"/>
        </w:rPr>
        <w:t>Consists of (a) 687,043 shares held by AMIDSPEED &amp; CO., as nominee for T. Rowe Price New Horizons Trust, (b) 136,170 shares held by AWEIGH &amp; CO., as nominee for T. Rowe Price U.S. Small-Cap Core Equity Trust, (c) 128,718 shares held by Azure &amp; Co. as nominee for T. Rowe Price U.S. Small-Cap Value Equity Trust, (d) 18,408 shares held by BARNACLEWATER &amp; CO., as nominee for Advantus Capital Management, Inc. Minnesota Life Insurance Co.,</w:t>
      </w:r>
    </w:p>
    <w:p>
      <w:pPr>
        <w:ind w:left="1500" w:right="80" w:firstLine="1"/>
        <w:spacing w:after="0" w:line="281" w:lineRule="auto"/>
        <w:tabs>
          <w:tab w:leader="none" w:pos="1644" w:val="left"/>
        </w:tabs>
        <w:numPr>
          <w:ilvl w:val="1"/>
          <w:numId w:val="84"/>
        </w:numPr>
        <w:rPr>
          <w:rFonts w:ascii="Arial" w:cs="Arial" w:eastAsia="Arial" w:hAnsi="Arial"/>
          <w:sz w:val="8"/>
          <w:szCs w:val="8"/>
          <w:color w:val="auto"/>
        </w:rPr>
      </w:pPr>
      <w:r>
        <w:rPr>
          <w:rFonts w:ascii="Arial" w:cs="Arial" w:eastAsia="Arial" w:hAnsi="Arial"/>
          <w:sz w:val="8"/>
          <w:szCs w:val="8"/>
          <w:color w:val="auto"/>
        </w:rPr>
        <w:t>6,943,762 shares held by Bridge &amp; Co. as nominee for T. Rowe Price New Horizons Fund, Inc., (f) 455,820 shares held by CASCOLANE &amp; CO., as nominee for T. Rowe Price Institutional Small-Cap Stock Fund, (g) 60,180 shares held by HARE &amp; CO., as nominee for Costco 401(k) Retirement Plan, (h) 60,924 shares held by HARE &amp; CO., as nominee for U.S. Small-Cap Stock Trust, (i) 19,674 shares held by ICECOLD &amp; CO., as nominee for T. Rowe Price U.S. Equities Trust, (j) 5,904 shares held by LADYBIRD &amp; CO., as nominee for T. Rowe Price Personal Strategy Income Fund, (k) 11,754 shares held by LADYBUG &amp; CO., as nominee for T. Rowe Price Personal Strategy Balanced Fund,</w:t>
      </w:r>
    </w:p>
    <w:p>
      <w:pPr>
        <w:spacing w:after="0" w:line="1" w:lineRule="exact"/>
        <w:rPr>
          <w:rFonts w:ascii="Arial" w:cs="Arial" w:eastAsia="Arial" w:hAnsi="Arial"/>
          <w:sz w:val="8"/>
          <w:szCs w:val="8"/>
          <w:color w:val="auto"/>
        </w:rPr>
      </w:pPr>
    </w:p>
    <w:p>
      <w:pPr>
        <w:ind w:left="1500" w:right="180" w:firstLine="1"/>
        <w:spacing w:after="0" w:line="232" w:lineRule="auto"/>
        <w:tabs>
          <w:tab w:leader="none" w:pos="1612" w:val="left"/>
        </w:tabs>
        <w:numPr>
          <w:ilvl w:val="1"/>
          <w:numId w:val="85"/>
        </w:numPr>
        <w:rPr>
          <w:rFonts w:ascii="Arial" w:cs="Arial" w:eastAsia="Arial" w:hAnsi="Arial"/>
          <w:sz w:val="10"/>
          <w:szCs w:val="10"/>
          <w:color w:val="auto"/>
        </w:rPr>
      </w:pPr>
      <w:r>
        <w:rPr>
          <w:rFonts w:ascii="Arial" w:cs="Arial" w:eastAsia="Arial" w:hAnsi="Arial"/>
          <w:sz w:val="10"/>
          <w:szCs w:val="10"/>
          <w:color w:val="auto"/>
        </w:rPr>
        <w:t>12,786 shares held by LAKESIDE &amp; CO., as nominee for T. Rowe Price Personal Strategy Growth Fund, (m) 32,874 shares held by MAC &amp; CO., as nominee for TD Mutual Funds — TD U.S. Small-Cap Equity Fund, (n) 1,253,457 shares held by Oceanoar &amp; Co., as nominee for T. Rowe Price Small-Cap Value Fund, Inc., (o) 1,850,685 shares held by OVERLAP &amp; CO., as nominee for 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47" w:name="page148"/>
    <w:bookmarkEnd w:id="14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2" w:lineRule="exact"/>
        <w:rPr>
          <w:sz w:val="20"/>
          <w:szCs w:val="20"/>
          <w:color w:val="auto"/>
        </w:rPr>
      </w:pPr>
    </w:p>
    <w:p>
      <w:pPr>
        <w:ind w:left="1500" w:right="40"/>
        <w:spacing w:after="0" w:line="296" w:lineRule="auto"/>
        <w:rPr>
          <w:sz w:val="20"/>
          <w:szCs w:val="20"/>
          <w:color w:val="auto"/>
        </w:rPr>
      </w:pPr>
      <w:r>
        <w:rPr>
          <w:rFonts w:ascii="Arial" w:cs="Arial" w:eastAsia="Arial" w:hAnsi="Arial"/>
          <w:sz w:val="8"/>
          <w:szCs w:val="8"/>
          <w:color w:val="auto"/>
        </w:rPr>
        <w:t>Rowe Price Small-Cap Stock Fund, Inc., (p) 1,008 shares held by PEACEMAKER &amp; CO., as nominee for T. Rowe Price Personal Strategy Balanced Portfolio, and (q) 20,286 shares held by SQUIDFISH &amp; CO., as nominee for VALIC Company I — Small Cap Fund. The foregoing accounts are advised or sub-advised by T. Rowe Price Associates, Inc., or T. Rowe Price, a registered investment adviser. T. Rowe Price serves as investment adviser with power to direct investments and/or sole power to vote the securities owned by the accounts. Although T. Rowe Price may be deemed to be the beneficial owner of all the shares listed, T. Rowe Price expressly disclaims beneficial ownership of such securities. T. Rowe Price Investment Services, Inc., or TRPIS, a registered broker-dealer, is a subsidiary of T. Rowe Price Associates, Inc., the investment adviser to the accounts listed above. TRPIS is the principal underwriter and distributor of shares of the funds in the T. Rowe Price mutual fund family. TRPIS does not engage in underwriting or market-making activities involving individual securities. T. Rowe Price Associates, Inc. is the wholly-owned subsidiary of T. Rowe Price Group, Inc., which is a publicly traded financial services holding company. The principal address for T. Rowe Price is 100 East Pratt Street, Baltimore, Maryland 21202.</w:t>
      </w:r>
    </w:p>
    <w:p>
      <w:pPr>
        <w:spacing w:after="0" w:line="225" w:lineRule="exact"/>
        <w:rPr>
          <w:sz w:val="20"/>
          <w:szCs w:val="20"/>
          <w:color w:val="auto"/>
        </w:rPr>
      </w:pPr>
    </w:p>
    <w:p>
      <w:pPr>
        <w:ind w:left="1500" w:right="100" w:hanging="360"/>
        <w:spacing w:after="0" w:line="193" w:lineRule="auto"/>
        <w:tabs>
          <w:tab w:leader="none" w:pos="1500" w:val="left"/>
        </w:tabs>
        <w:numPr>
          <w:ilvl w:val="0"/>
          <w:numId w:val="86"/>
        </w:numPr>
        <w:rPr>
          <w:rFonts w:ascii="Arial" w:cs="Arial" w:eastAsia="Arial" w:hAnsi="Arial"/>
          <w:sz w:val="14"/>
          <w:szCs w:val="14"/>
          <w:color w:val="auto"/>
          <w:vertAlign w:val="superscript"/>
        </w:rPr>
      </w:pPr>
      <w:r>
        <w:rPr>
          <w:rFonts w:ascii="Arial" w:cs="Arial" w:eastAsia="Arial" w:hAnsi="Arial"/>
          <w:sz w:val="10"/>
          <w:szCs w:val="10"/>
          <w:color w:val="auto"/>
        </w:rPr>
        <w:t>Consists of 4,584,007 shares held of record by Promerica Capital LLC, with respect to which Anastasios Parafestas, one of our directors, has sole investment power. The principal address of Promerica Capital LLC is One Joy Street, Boston, Massachusetts 02108.</w:t>
      </w:r>
    </w:p>
    <w:p>
      <w:pPr>
        <w:spacing w:after="0" w:line="102" w:lineRule="exact"/>
        <w:rPr>
          <w:rFonts w:ascii="Arial" w:cs="Arial" w:eastAsia="Arial" w:hAnsi="Arial"/>
          <w:sz w:val="14"/>
          <w:szCs w:val="14"/>
          <w:color w:val="auto"/>
          <w:vertAlign w:val="superscript"/>
        </w:rPr>
      </w:pPr>
    </w:p>
    <w:p>
      <w:pPr>
        <w:ind w:left="1500" w:hanging="360"/>
        <w:spacing w:after="0" w:line="193" w:lineRule="auto"/>
        <w:tabs>
          <w:tab w:leader="none" w:pos="1500" w:val="left"/>
        </w:tabs>
        <w:numPr>
          <w:ilvl w:val="0"/>
          <w:numId w:val="86"/>
        </w:numPr>
        <w:rPr>
          <w:rFonts w:ascii="Arial" w:cs="Arial" w:eastAsia="Arial" w:hAnsi="Arial"/>
          <w:sz w:val="14"/>
          <w:szCs w:val="14"/>
          <w:color w:val="auto"/>
          <w:vertAlign w:val="superscript"/>
        </w:rPr>
      </w:pPr>
      <w:r>
        <w:rPr>
          <w:rFonts w:ascii="Arial" w:cs="Arial" w:eastAsia="Arial" w:hAnsi="Arial"/>
          <w:sz w:val="10"/>
          <w:szCs w:val="10"/>
          <w:color w:val="auto"/>
        </w:rPr>
        <w:t>Consists of 3,858,091 shares held of record by GC Holdings Investors LLC, with respect to which Anastasios Parafestas, one of our directors, has sole investment power. The principal address of GC Holdings Investors LLC is One Joy Street, Boston, Massachusetts 02108.</w:t>
      </w:r>
    </w:p>
    <w:p>
      <w:pPr>
        <w:spacing w:after="0" w:line="67"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86"/>
        </w:numPr>
        <w:rPr>
          <w:rFonts w:ascii="Arial" w:cs="Arial" w:eastAsia="Arial" w:hAnsi="Arial"/>
          <w:sz w:val="13"/>
          <w:szCs w:val="13"/>
          <w:color w:val="auto"/>
          <w:vertAlign w:val="superscript"/>
        </w:rPr>
      </w:pPr>
      <w:r>
        <w:rPr>
          <w:rFonts w:ascii="Arial" w:cs="Arial" w:eastAsia="Arial" w:hAnsi="Arial"/>
          <w:sz w:val="9"/>
          <w:szCs w:val="9"/>
          <w:color w:val="auto"/>
        </w:rPr>
        <w:t>Includes 51,774 shares of Class A common stock and 103,548 shares of Class B common stock underlying options that are exercisable within 60 days of September 25, 2017. Mr. Chrzan is a current employee of our company.</w:t>
      </w:r>
    </w:p>
    <w:p>
      <w:pPr>
        <w:spacing w:after="0" w:line="66" w:lineRule="exact"/>
        <w:rPr>
          <w:rFonts w:ascii="Arial" w:cs="Arial" w:eastAsia="Arial" w:hAnsi="Arial"/>
          <w:sz w:val="13"/>
          <w:szCs w:val="13"/>
          <w:color w:val="auto"/>
          <w:vertAlign w:val="superscript"/>
        </w:rPr>
      </w:pPr>
    </w:p>
    <w:p>
      <w:pPr>
        <w:ind w:left="1500" w:hanging="360"/>
        <w:spacing w:after="0"/>
        <w:tabs>
          <w:tab w:leader="none" w:pos="1500" w:val="left"/>
        </w:tabs>
        <w:numPr>
          <w:ilvl w:val="0"/>
          <w:numId w:val="86"/>
        </w:numPr>
        <w:rPr>
          <w:rFonts w:ascii="Arial" w:cs="Arial" w:eastAsia="Arial" w:hAnsi="Arial"/>
          <w:sz w:val="13"/>
          <w:szCs w:val="13"/>
          <w:color w:val="auto"/>
          <w:vertAlign w:val="superscript"/>
        </w:rPr>
      </w:pPr>
      <w:r>
        <w:rPr>
          <w:rFonts w:ascii="Arial" w:cs="Arial" w:eastAsia="Arial" w:hAnsi="Arial"/>
          <w:sz w:val="9"/>
          <w:szCs w:val="9"/>
          <w:color w:val="auto"/>
        </w:rPr>
        <w:t>Includes 3,800 shares of Class A common stock and 7,600 shares of Class B common stock underlying options that are exercisable within 60 days of September 25, 2017. Mr. Kaplansky is a current employee of our company.</w:t>
      </w:r>
    </w:p>
    <w:p>
      <w:pPr>
        <w:spacing w:after="0" w:line="55" w:lineRule="exact"/>
        <w:rPr>
          <w:rFonts w:ascii="Arial" w:cs="Arial" w:eastAsia="Arial" w:hAnsi="Arial"/>
          <w:sz w:val="13"/>
          <w:szCs w:val="13"/>
          <w:color w:val="auto"/>
          <w:vertAlign w:val="superscript"/>
        </w:rPr>
      </w:pPr>
    </w:p>
    <w:p>
      <w:pPr>
        <w:ind w:left="1500" w:hanging="360"/>
        <w:spacing w:after="0"/>
        <w:tabs>
          <w:tab w:leader="none" w:pos="1500" w:val="left"/>
        </w:tabs>
        <w:numPr>
          <w:ilvl w:val="0"/>
          <w:numId w:val="86"/>
        </w:numPr>
        <w:rPr>
          <w:rFonts w:ascii="Arial" w:cs="Arial" w:eastAsia="Arial" w:hAnsi="Arial"/>
          <w:sz w:val="14"/>
          <w:szCs w:val="14"/>
          <w:color w:val="auto"/>
          <w:vertAlign w:val="superscript"/>
        </w:rPr>
      </w:pPr>
      <w:r>
        <w:rPr>
          <w:rFonts w:ascii="Arial" w:cs="Arial" w:eastAsia="Arial" w:hAnsi="Arial"/>
          <w:sz w:val="10"/>
          <w:szCs w:val="10"/>
          <w:color w:val="auto"/>
        </w:rPr>
        <w:t>Includes 584 shares of Class A common stock and 1,168 shares of Class B common stock underlying options that are exercisable within 60 days of September 25, 2017. Mr. Rosenberg is a current employee of our company.</w:t>
      </w:r>
    </w:p>
    <w:p>
      <w:pPr>
        <w:spacing w:after="0" w:line="101" w:lineRule="exact"/>
        <w:rPr>
          <w:rFonts w:ascii="Arial" w:cs="Arial" w:eastAsia="Arial" w:hAnsi="Arial"/>
          <w:sz w:val="14"/>
          <w:szCs w:val="14"/>
          <w:color w:val="auto"/>
          <w:vertAlign w:val="superscript"/>
        </w:rPr>
      </w:pPr>
    </w:p>
    <w:p>
      <w:pPr>
        <w:ind w:left="1500" w:right="60" w:hanging="360"/>
        <w:spacing w:after="0" w:line="193" w:lineRule="auto"/>
        <w:tabs>
          <w:tab w:leader="none" w:pos="1500" w:val="left"/>
        </w:tabs>
        <w:numPr>
          <w:ilvl w:val="0"/>
          <w:numId w:val="86"/>
        </w:numPr>
        <w:rPr>
          <w:rFonts w:ascii="Arial" w:cs="Arial" w:eastAsia="Arial" w:hAnsi="Arial"/>
          <w:sz w:val="14"/>
          <w:szCs w:val="14"/>
          <w:color w:val="auto"/>
          <w:vertAlign w:val="superscript"/>
        </w:rPr>
      </w:pPr>
      <w:r>
        <w:rPr>
          <w:rFonts w:ascii="Arial" w:cs="Arial" w:eastAsia="Arial" w:hAnsi="Arial"/>
          <w:sz w:val="10"/>
          <w:szCs w:val="10"/>
          <w:color w:val="auto"/>
        </w:rPr>
        <w:t>Consists of (a) 3,378,084 shares sold by Langley Steinert and (b) 3,110 shares sold by each of The Langley Steinert Irrevocable Trust—2014 f/b/o Ailsa Steinart, The Langley Steinert Irrevocable Trust—2014 f/b/o Arthur Steinert, The Langley Steinert Irrevocable Trust—2014 f/b/o Gail Barnett and The Langley Steinert Irrevocable Trust—2014 f/b/o Russell Steinert.</w:t>
      </w:r>
    </w:p>
    <w:p>
      <w:pPr>
        <w:spacing w:after="0" w:line="56" w:lineRule="exact"/>
        <w:rPr>
          <w:rFonts w:ascii="Arial" w:cs="Arial" w:eastAsia="Arial" w:hAnsi="Arial"/>
          <w:sz w:val="14"/>
          <w:szCs w:val="14"/>
          <w:color w:val="auto"/>
          <w:vertAlign w:val="superscript"/>
        </w:rPr>
      </w:pPr>
    </w:p>
    <w:p>
      <w:pPr>
        <w:ind w:left="1500" w:hanging="360"/>
        <w:spacing w:after="0"/>
        <w:tabs>
          <w:tab w:leader="none" w:pos="1500" w:val="left"/>
        </w:tabs>
        <w:numPr>
          <w:ilvl w:val="0"/>
          <w:numId w:val="86"/>
        </w:numPr>
        <w:rPr>
          <w:rFonts w:ascii="Arial" w:cs="Arial" w:eastAsia="Arial" w:hAnsi="Arial"/>
          <w:sz w:val="14"/>
          <w:szCs w:val="14"/>
          <w:color w:val="auto"/>
          <w:vertAlign w:val="superscript"/>
        </w:rPr>
      </w:pPr>
      <w:r>
        <w:rPr>
          <w:rFonts w:ascii="Arial" w:cs="Arial" w:eastAsia="Arial" w:hAnsi="Arial"/>
          <w:sz w:val="10"/>
          <w:szCs w:val="10"/>
          <w:color w:val="auto"/>
        </w:rPr>
        <w:t>Consists of (a) 1,523,000 shares sold by Argonaut 22 LLC, (b) 458,000 shares sold by Promerica Capital LLC, and (c) 385,000 shares sold by GC Holdings Investors LLC.</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1" w:right="259" w:bottom="1440" w:gutter="0" w:footer="0" w:header="0"/>
        </w:sectPr>
      </w:pPr>
    </w:p>
    <w:bookmarkStart w:id="148" w:name="page149"/>
    <w:bookmarkEnd w:id="14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DESCRIPTION OF CAPITAL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1"/>
          <w:szCs w:val="11"/>
          <w:color w:val="auto"/>
        </w:rPr>
        <w:t>The following description summarizes the most important terms of our capital stock, as they are expected to be in effect upon the closing of this offering. This summary does not purport to be complete and is qualified in its entirety by the provisions of our amended and restated certificate of incorporation and amended and restated bylaws to be effective upon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24"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Upon the closing of this offering, our amended and restated certificate of incorporation will provide for two classes of common stock: Class A common stock and Class B common stock. In addition, our amended and restated certificate of incorporation will authorize shares of undesignated preferred stock, the rights, preferences and privileges of which may be designated from time to time by our board of directors.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Upon the closing of this offering, our authorized capital stock will consist of 610,000,000 shares, all with a par value of $0.001 per share, of which:</w:t>
      </w:r>
    </w:p>
    <w:p>
      <w:pPr>
        <w:spacing w:after="0" w:line="141" w:lineRule="exact"/>
        <w:rPr>
          <w:sz w:val="20"/>
          <w:szCs w:val="20"/>
          <w:color w:val="auto"/>
        </w:rPr>
      </w:pPr>
    </w:p>
    <w:p>
      <w:pPr>
        <w:ind w:left="720" w:hanging="368"/>
        <w:spacing w:after="0"/>
        <w:tabs>
          <w:tab w:leader="none" w:pos="7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500,000,000 shares are designated as Class A common stock;</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100,000,000 shares are designated as Class B common stock; and</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10,000,000 shares are designated as preferred stock.</w:t>
      </w:r>
    </w:p>
    <w:p>
      <w:pPr>
        <w:spacing w:after="0" w:line="141" w:lineRule="exact"/>
        <w:rPr>
          <w:sz w:val="20"/>
          <w:szCs w:val="20"/>
          <w:color w:val="auto"/>
        </w:rPr>
      </w:pPr>
    </w:p>
    <w:p>
      <w:pPr>
        <w:ind w:right="100" w:firstLine="319"/>
        <w:spacing w:after="0" w:line="237" w:lineRule="auto"/>
        <w:rPr>
          <w:sz w:val="20"/>
          <w:szCs w:val="20"/>
          <w:color w:val="auto"/>
        </w:rPr>
      </w:pPr>
      <w:r>
        <w:rPr>
          <w:rFonts w:ascii="Arial" w:cs="Arial" w:eastAsia="Arial" w:hAnsi="Arial"/>
          <w:sz w:val="12"/>
          <w:szCs w:val="12"/>
          <w:color w:val="auto"/>
        </w:rPr>
        <w:t>Assuming the automatic conversion of all shares of our convertible preferred stock outstanding as of September 25, 2017 into 20,188,226 shares of our Class A common stock and 40,376,452 shares of our Class B common stock, and the subsequent conversion of such shares of Class B common stock into 40,376,452 shares of our Class A common stock, which conversions will occur upon the closing of this offering, as of September 25, 2017, there were:</w:t>
      </w:r>
    </w:p>
    <w:p>
      <w:pPr>
        <w:spacing w:after="0" w:line="141" w:lineRule="exact"/>
        <w:rPr>
          <w:sz w:val="20"/>
          <w:szCs w:val="20"/>
          <w:color w:val="auto"/>
        </w:rPr>
      </w:pPr>
    </w:p>
    <w:p>
      <w:pPr>
        <w:ind w:left="720" w:hanging="368"/>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74,659,944 shares of our Class A common stock outstanding, held by 116 stockholders of record; and</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28,193,712 shares of our Class B common stock outstanding, held by 72 stockholders of record.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 A and Class B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155" w:lineRule="exact"/>
        <w:rPr>
          <w:sz w:val="20"/>
          <w:szCs w:val="20"/>
          <w:color w:val="auto"/>
        </w:rPr>
      </w:pPr>
    </w:p>
    <w:p>
      <w:pPr>
        <w:ind w:right="80" w:firstLine="326"/>
        <w:spacing w:after="0" w:line="236" w:lineRule="auto"/>
        <w:rPr>
          <w:sz w:val="20"/>
          <w:szCs w:val="20"/>
          <w:color w:val="auto"/>
        </w:rPr>
      </w:pPr>
      <w:r>
        <w:rPr>
          <w:rFonts w:ascii="Arial" w:cs="Arial" w:eastAsia="Arial" w:hAnsi="Arial"/>
          <w:sz w:val="12"/>
          <w:szCs w:val="12"/>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will vote together as a single class on all matters (including the election of directors) submitted to a vote of stockholders, unless otherwise required by law. Delaware law could require either our Class A common stock or Class B common stock to vote separately as a single class in the following circumstances:</w:t>
      </w:r>
    </w:p>
    <w:p>
      <w:pPr>
        <w:spacing w:after="0" w:line="141" w:lineRule="exact"/>
        <w:rPr>
          <w:sz w:val="20"/>
          <w:szCs w:val="20"/>
          <w:color w:val="auto"/>
        </w:rPr>
      </w:pPr>
    </w:p>
    <w:p>
      <w:pPr>
        <w:ind w:left="5640" w:right="3940" w:hanging="5288"/>
        <w:spacing w:after="0" w:line="489" w:lineRule="auto"/>
        <w:tabs>
          <w:tab w:leader="none" w:pos="716" w:val="left"/>
        </w:tabs>
        <w:numPr>
          <w:ilvl w:val="0"/>
          <w:numId w:val="89"/>
        </w:numPr>
        <w:rPr>
          <w:rFonts w:ascii="Arial" w:cs="Arial" w:eastAsia="Arial" w:hAnsi="Arial"/>
          <w:sz w:val="12"/>
          <w:szCs w:val="12"/>
          <w:color w:val="auto"/>
        </w:rPr>
      </w:pPr>
      <w:r>
        <w:rPr>
          <w:rFonts w:ascii="Arial" w:cs="Arial" w:eastAsia="Arial" w:hAnsi="Arial"/>
          <w:sz w:val="12"/>
          <w:szCs w:val="12"/>
          <w:color w:val="auto"/>
        </w:rPr>
        <w:t>if we propose to amend our certificate of incorporation to increase or decrease the par value of the shares of a class of our stock; or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729932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49" w:name="page150"/>
    <w:bookmarkEnd w:id="14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right="560" w:firstLine="32"/>
        <w:spacing w:after="0" w:line="473" w:lineRule="auto"/>
        <w:tabs>
          <w:tab w:leader="none" w:pos="715" w:val="left"/>
        </w:tabs>
        <w:numPr>
          <w:ilvl w:val="0"/>
          <w:numId w:val="90"/>
        </w:numPr>
        <w:rPr>
          <w:rFonts w:ascii="Arial" w:cs="Arial" w:eastAsia="Arial" w:hAnsi="Arial"/>
          <w:sz w:val="12"/>
          <w:szCs w:val="12"/>
          <w:color w:val="auto"/>
        </w:rPr>
      </w:pPr>
      <w:r>
        <w:rPr>
          <w:rFonts w:ascii="Arial" w:cs="Arial" w:eastAsia="Arial" w:hAnsi="Arial"/>
          <w:sz w:val="12"/>
          <w:szCs w:val="12"/>
          <w:color w:val="auto"/>
        </w:rPr>
        <w:t>if we propose to amend our certificate of incorporation in a manner that alters or changes the powers, preferences, or special rights of a class of stock in a manner that affected its holders adversely. We have not provided for cumulative voting for the election of directors in our amended and restated certificate of incorporation.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Rights</w:t>
      </w:r>
    </w:p>
    <w:p>
      <w:pPr>
        <w:spacing w:after="0" w:line="155" w:lineRule="exact"/>
        <w:rPr>
          <w:sz w:val="20"/>
          <w:szCs w:val="20"/>
          <w:color w:val="auto"/>
        </w:rPr>
      </w:pPr>
    </w:p>
    <w:p>
      <w:pPr>
        <w:ind w:right="140" w:firstLine="326"/>
        <w:spacing w:after="0" w:line="239" w:lineRule="auto"/>
        <w:rPr>
          <w:sz w:val="20"/>
          <w:szCs w:val="20"/>
          <w:color w:val="auto"/>
        </w:rPr>
      </w:pPr>
      <w:r>
        <w:rPr>
          <w:rFonts w:ascii="Arial" w:cs="Arial" w:eastAsia="Arial" w:hAnsi="Arial"/>
          <w:sz w:val="12"/>
          <w:szCs w:val="12"/>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w:t>
      </w:r>
    </w:p>
    <w:p>
      <w:pPr>
        <w:spacing w:after="0" w:line="127" w:lineRule="exact"/>
        <w:rPr>
          <w:sz w:val="20"/>
          <w:szCs w:val="20"/>
          <w:color w:val="auto"/>
        </w:rPr>
      </w:pPr>
    </w:p>
    <w:p>
      <w:pPr>
        <w:ind w:right="100" w:firstLine="326"/>
        <w:spacing w:after="0" w:line="247" w:lineRule="auto"/>
        <w:rPr>
          <w:sz w:val="20"/>
          <w:szCs w:val="20"/>
          <w:color w:val="auto"/>
        </w:rPr>
      </w:pPr>
      <w:r>
        <w:rPr>
          <w:rFonts w:ascii="Arial" w:cs="Arial" w:eastAsia="Arial" w:hAnsi="Arial"/>
          <w:sz w:val="12"/>
          <w:szCs w:val="12"/>
          <w:i w:val="1"/>
          <w:iCs w:val="1"/>
          <w:color w:val="auto"/>
        </w:rPr>
        <w:t xml:space="preserve">Dividends and Distributions. </w:t>
      </w:r>
      <w:r>
        <w:rPr>
          <w:rFonts w:ascii="Arial" w:cs="Arial" w:eastAsia="Arial" w:hAnsi="Arial"/>
          <w:sz w:val="12"/>
          <w:szCs w:val="12"/>
          <w:color w:val="auto"/>
        </w:rPr>
        <w:t>Subject to preferences that may apply to any shares of preferred stock outstanding at the time, the holders of Class A common stock and Class B common stock are entitled to receive</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if any, as may be declared from time to time by our board of directors out of legally available funds. We have never declared or paid cash dividends on any of our capital stock and currently do not anticipate paying any cash dividends after this offering or in the foreseeable future. See "Dividend Policy" for more information.</w:t>
      </w:r>
    </w:p>
    <w:p>
      <w:pPr>
        <w:spacing w:after="0" w:line="123" w:lineRule="exact"/>
        <w:rPr>
          <w:sz w:val="20"/>
          <w:szCs w:val="20"/>
          <w:color w:val="auto"/>
        </w:rPr>
      </w:pPr>
    </w:p>
    <w:p>
      <w:pPr>
        <w:ind w:right="140" w:firstLine="326"/>
        <w:spacing w:after="0" w:line="259" w:lineRule="auto"/>
        <w:rPr>
          <w:sz w:val="20"/>
          <w:szCs w:val="20"/>
          <w:color w:val="auto"/>
        </w:rPr>
      </w:pPr>
      <w:r>
        <w:rPr>
          <w:rFonts w:ascii="Arial" w:cs="Arial" w:eastAsia="Arial" w:hAnsi="Arial"/>
          <w:sz w:val="12"/>
          <w:szCs w:val="12"/>
          <w:i w:val="1"/>
          <w:iCs w:val="1"/>
          <w:color w:val="auto"/>
        </w:rPr>
        <w:t xml:space="preserve">Right to Receive Liquidation Distributions. </w:t>
      </w:r>
      <w:r>
        <w:rPr>
          <w:rFonts w:ascii="Arial" w:cs="Arial" w:eastAsia="Arial" w:hAnsi="Arial"/>
          <w:sz w:val="12"/>
          <w:szCs w:val="12"/>
          <w:color w:val="auto"/>
        </w:rPr>
        <w:t>Upon our dissolution, liquidation or winding-up, the assets legally available for distribution to our stockholders are distributable ratably among the holders of our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 subject to prior satisfaction of all outstanding debt and liabilities and the preferential rights and payment of liquidation preferences, if any, on any outstanding shares of preferred stock.</w:t>
      </w:r>
    </w:p>
    <w:p>
      <w:pPr>
        <w:spacing w:after="0" w:line="116" w:lineRule="exact"/>
        <w:rPr>
          <w:sz w:val="20"/>
          <w:szCs w:val="20"/>
          <w:color w:val="auto"/>
        </w:rPr>
      </w:pPr>
    </w:p>
    <w:p>
      <w:pPr>
        <w:ind w:left="320"/>
        <w:spacing w:after="0"/>
        <w:tabs>
          <w:tab w:leader="none" w:pos="2120" w:val="left"/>
        </w:tabs>
        <w:rPr>
          <w:sz w:val="20"/>
          <w:szCs w:val="20"/>
          <w:color w:val="auto"/>
        </w:rPr>
      </w:pPr>
      <w:r>
        <w:rPr>
          <w:rFonts w:ascii="Arial" w:cs="Arial" w:eastAsia="Arial" w:hAnsi="Arial"/>
          <w:sz w:val="12"/>
          <w:szCs w:val="12"/>
          <w:i w:val="1"/>
          <w:iCs w:val="1"/>
          <w:color w:val="auto"/>
        </w:rPr>
        <w:t>No Preemptive or Similar Rights.</w:t>
      </w:r>
      <w:r>
        <w:rPr>
          <w:sz w:val="20"/>
          <w:szCs w:val="20"/>
          <w:color w:val="auto"/>
        </w:rPr>
        <w:tab/>
      </w:r>
      <w:r>
        <w:rPr>
          <w:rFonts w:ascii="Arial" w:cs="Arial" w:eastAsia="Arial" w:hAnsi="Arial"/>
          <w:sz w:val="11"/>
          <w:szCs w:val="11"/>
          <w:color w:val="auto"/>
        </w:rPr>
        <w:t>Holders of our Class A common stock and Class B common stock are not entitled to preemptive rights and are not subject to redemption or sinking fund provisions.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of such share, which is defined to include entering into a voting agreement, whether or not for value, except for certain transfers described in our amended and restated certificate of incorporation, including, without limitation, transfers to certain family members of the transferor stockholder. Finally, all shares of Class B common stock will automatically convert into shares of Class A common stock, on a share for share basis, upon the date falling after the first to occur of the death of Langley Steinert, our founder, Chief Executive Officer, President, and Chairman, Langley Steinert's voluntary termination of all employment with us and service on our board of directors or the sum of the number of shares of our capital stock held by Langley Steinert, by any Family Member of Langley Steinert, and by any Permitted Entity of Langley Steinert (as such terms are defined in our amended and restated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w:t>
      </w:r>
    </w:p>
    <w:p>
      <w:pPr>
        <w:spacing w:after="0" w:line="139" w:lineRule="exact"/>
        <w:rPr>
          <w:sz w:val="20"/>
          <w:szCs w:val="20"/>
          <w:color w:val="auto"/>
        </w:rPr>
      </w:pPr>
    </w:p>
    <w:p>
      <w:pPr>
        <w:ind w:right="20" w:firstLine="326"/>
        <w:spacing w:after="0" w:line="239" w:lineRule="auto"/>
        <w:rPr>
          <w:sz w:val="20"/>
          <w:szCs w:val="20"/>
          <w:color w:val="auto"/>
        </w:rPr>
      </w:pPr>
      <w:r>
        <w:rPr>
          <w:rFonts w:ascii="Arial" w:cs="Arial" w:eastAsia="Arial" w:hAnsi="Arial"/>
          <w:sz w:val="12"/>
          <w:szCs w:val="12"/>
          <w:color w:val="auto"/>
        </w:rPr>
        <w:t>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50" w:name="page151"/>
    <w:bookmarkEnd w:id="15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acquire shares of Class B common stock shall become a right to purchase or acquire shares of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Fully Paid and Non-Assessable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All of the outstanding shares of our Class A common stock and Class B common stock are, and the shares of our Class A common stock to be issued pursuant to this offering will be, fully paid and non-assessable.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55"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Immediately after the closing of this offering, our board of directors will have the authority to issue up to 10,000,000 shares of preferred stock in one or more series and to fix the rights, preferences, privileges, and restrictions thereof, provided that, prior to the threshold date, such designation is subject to the approval of holders of at least a majority of the combined voting power of our outstanding capital stock.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 Upon the closing of this offering, no shares of preferred stock will be outstanding, and we have no present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 and RSUs</w:t>
      </w:r>
    </w:p>
    <w:p>
      <w:pPr>
        <w:spacing w:after="0" w:line="155" w:lineRule="exact"/>
        <w:rPr>
          <w:sz w:val="20"/>
          <w:szCs w:val="20"/>
          <w:color w:val="auto"/>
        </w:rPr>
      </w:pPr>
    </w:p>
    <w:p>
      <w:pPr>
        <w:ind w:right="80" w:firstLine="319"/>
        <w:spacing w:after="0" w:line="237" w:lineRule="auto"/>
        <w:rPr>
          <w:sz w:val="20"/>
          <w:szCs w:val="20"/>
          <w:color w:val="auto"/>
        </w:rPr>
      </w:pPr>
      <w:r>
        <w:rPr>
          <w:rFonts w:ascii="Arial" w:cs="Arial" w:eastAsia="Arial" w:hAnsi="Arial"/>
          <w:sz w:val="12"/>
          <w:szCs w:val="12"/>
          <w:color w:val="auto"/>
        </w:rPr>
        <w:t>As of June 30, 2017, there were 1,737,056 shares of Class A common stock issuable upon the exercise of options outstanding as of June 30, 2017 with a weighted-average exercise price of $1.65 per share and 3,474,112 shares of Class B common stock issuable upon the exercise of options outstanding as of June 30, 2017 with a weighted-average exercise price of $1.65 per share, and 789,934 shares of Class A common stock and 1,579,868 shares of Class B common stock issuable upon the vesting and settlement of restricted stock units, or RSUs.</w:t>
      </w:r>
    </w:p>
    <w:p>
      <w:pPr>
        <w:spacing w:after="0" w:line="141" w:lineRule="exact"/>
        <w:rPr>
          <w:sz w:val="20"/>
          <w:szCs w:val="20"/>
          <w:color w:val="auto"/>
        </w:rPr>
      </w:pPr>
    </w:p>
    <w:p>
      <w:pPr>
        <w:ind w:firstLine="326"/>
        <w:spacing w:after="0" w:line="281" w:lineRule="auto"/>
        <w:rPr>
          <w:sz w:val="20"/>
          <w:szCs w:val="20"/>
          <w:color w:val="auto"/>
        </w:rPr>
      </w:pPr>
      <w:r>
        <w:rPr>
          <w:rFonts w:ascii="Arial" w:cs="Arial" w:eastAsia="Arial" w:hAnsi="Arial"/>
          <w:sz w:val="11"/>
          <w:szCs w:val="11"/>
          <w:color w:val="auto"/>
        </w:rPr>
        <w:t>In connection with the granting of options under our 2006 Equity Incentive Plan, we also granted individuals a right to additional compensation in an amount based on certain dividend distributions or other periodic payments paid or made with respect to a specified number of shares of our common stock, which we refer to as dividend equivalent rights. As of June 30, 2017, there were 10 individuals who held dividend equivalent rights.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Exclusive Jurisdiction</w:t>
      </w:r>
    </w:p>
    <w:p>
      <w:pPr>
        <w:spacing w:after="0" w:line="155"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Our amended and restated certificate of incorporation to be effective on the closing of this offering will provide that, unless we consent in writing to the selection of an alternative forum, the Court of Chancery of the State of Delaware will, to the fullest extent permitted by law, be the sole and exclusive forum for: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51" w:name="page152"/>
    <w:bookmarkEnd w:id="151"/>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8" w:right="320"/>
        <w:spacing w:after="0" w:line="239" w:lineRule="auto"/>
        <w:rPr>
          <w:sz w:val="20"/>
          <w:szCs w:val="20"/>
          <w:color w:val="auto"/>
        </w:rPr>
      </w:pPr>
      <w:r>
        <w:rPr>
          <w:rFonts w:ascii="Arial" w:cs="Arial" w:eastAsia="Arial" w:hAnsi="Arial"/>
          <w:sz w:val="12"/>
          <w:szCs w:val="12"/>
          <w:color w:val="auto"/>
        </w:rPr>
        <w:t>enforceability of similar choice of forum provisions in other companies' certificates of incorporation has been challenged in legal proceedings, and it is possible that, in connection with any action, a court could find the choice of forum provisions contained in our amended and restated certificate of incorporation to be inapplicable or unenforceable in such action.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Registration Rights</w:t>
      </w:r>
    </w:p>
    <w:p>
      <w:pPr>
        <w:spacing w:after="0" w:line="155" w:lineRule="exact"/>
        <w:rPr>
          <w:sz w:val="20"/>
          <w:szCs w:val="20"/>
          <w:color w:val="auto"/>
        </w:rPr>
      </w:pPr>
    </w:p>
    <w:p>
      <w:pPr>
        <w:ind w:left="8" w:firstLine="319"/>
        <w:spacing w:after="0" w:line="256" w:lineRule="auto"/>
        <w:rPr>
          <w:sz w:val="20"/>
          <w:szCs w:val="20"/>
          <w:color w:val="auto"/>
        </w:rPr>
      </w:pPr>
      <w:r>
        <w:rPr>
          <w:rFonts w:ascii="Arial" w:cs="Arial" w:eastAsia="Arial" w:hAnsi="Arial"/>
          <w:sz w:val="11"/>
          <w:szCs w:val="11"/>
          <w:color w:val="auto"/>
        </w:rPr>
        <w:t>After the closing of this offering certain holders of our Class A common stock will be entitled to rights with respect to the registration of their shares under the Securities Act of 1933, as amended, or the Securities Act. These registration rights are contained in our amended and restated investors' rights agreement, or IRA, dated August 23, 2016. We and certain holders of our Class A common stock, Class B common stock, Series A preferred stock, Series B preferred stock, Series C preferred stock, Series D preferred stock, and Series E preferred stock are parties to the IRA. The registration rights set forth in the IRA will expire upon (i) the closing of a Deemed Liquidation Event, or (ii) two years following the closing of our initial public offering. A Deemed Liquidation Event is defined in the IRA to be a (i) a merger or consolidation where either (a) the company is a party or</w:t>
      </w:r>
    </w:p>
    <w:p>
      <w:pPr>
        <w:spacing w:after="0" w:line="1" w:lineRule="exact"/>
        <w:rPr>
          <w:sz w:val="20"/>
          <w:szCs w:val="20"/>
          <w:color w:val="auto"/>
        </w:rPr>
      </w:pPr>
    </w:p>
    <w:p>
      <w:pPr>
        <w:ind w:left="8" w:right="20" w:hanging="8"/>
        <w:spacing w:after="0" w:line="269" w:lineRule="auto"/>
        <w:tabs>
          <w:tab w:leader="none" w:pos="184" w:val="left"/>
        </w:tabs>
        <w:numPr>
          <w:ilvl w:val="0"/>
          <w:numId w:val="91"/>
        </w:numPr>
        <w:rPr>
          <w:rFonts w:ascii="Arial" w:cs="Arial" w:eastAsia="Arial" w:hAnsi="Arial"/>
          <w:sz w:val="11"/>
          <w:szCs w:val="11"/>
          <w:color w:val="auto"/>
        </w:rPr>
      </w:pPr>
      <w:r>
        <w:rPr>
          <w:rFonts w:ascii="Arial" w:cs="Arial" w:eastAsia="Arial" w:hAnsi="Arial"/>
          <w:sz w:val="11"/>
          <w:szCs w:val="11"/>
          <w:color w:val="auto"/>
        </w:rPr>
        <w:t>a subsidiary of the company is a party and the company issues shares of its capital stock pursuant to such merger or consolidation and the shares of capital stock of the company outstanding continue to represent a majority of the voting power of the surviving company or the parent of the surviving company; (ii) sale, lease, exclusive license, transfer or other disposition of all or substantially the assets or intellectual property of the company to an entity other than a wholly owned subsidiary of the company; or (iii) acquisition by any person or group of related persons that represents at least a majority of the voting power of the company's capital stock.</w:t>
      </w:r>
    </w:p>
    <w:p>
      <w:pPr>
        <w:spacing w:after="0" w:line="124" w:lineRule="exact"/>
        <w:rPr>
          <w:sz w:val="20"/>
          <w:szCs w:val="20"/>
          <w:color w:val="auto"/>
        </w:rPr>
      </w:pPr>
    </w:p>
    <w:p>
      <w:pPr>
        <w:ind w:left="8" w:right="40" w:firstLine="326"/>
        <w:spacing w:after="0" w:line="237" w:lineRule="auto"/>
        <w:rPr>
          <w:sz w:val="20"/>
          <w:szCs w:val="20"/>
          <w:color w:val="auto"/>
        </w:rPr>
      </w:pPr>
      <w:r>
        <w:rPr>
          <w:rFonts w:ascii="Arial" w:cs="Arial" w:eastAsia="Arial" w:hAnsi="Arial"/>
          <w:sz w:val="12"/>
          <w:szCs w:val="12"/>
          <w:color w:val="auto"/>
        </w:rPr>
        <w:t>We will pay the registration expenses (other than underwriting discounts, selling commissions and stock transfer taxes) of the holders of the shares registered pursuant to the registrations described below. We will pay up to $50,000 of the reasonable fees and disbursements of one counsel for the selling stockholders entitled to demand registration as described below, but otherwise will not pay the fees and disbursements of counsel for any such selling stockholder. In an underwritten offering, the managing underwriter, if any, has the right, subject to specified conditions, to limit the number of shares such holders may include in the offering. See the section titled "Underwriting (Conflicts of Interest)" for more information regarding such restrictions.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Demand Registration Rights</w:t>
      </w:r>
    </w:p>
    <w:p>
      <w:pPr>
        <w:spacing w:after="0" w:line="155" w:lineRule="exact"/>
        <w:rPr>
          <w:sz w:val="20"/>
          <w:szCs w:val="20"/>
          <w:color w:val="auto"/>
        </w:rPr>
      </w:pPr>
    </w:p>
    <w:p>
      <w:pPr>
        <w:ind w:left="8" w:right="80" w:firstLine="326"/>
        <w:spacing w:after="0" w:line="269" w:lineRule="auto"/>
        <w:rPr>
          <w:sz w:val="20"/>
          <w:szCs w:val="20"/>
          <w:color w:val="auto"/>
        </w:rPr>
      </w:pPr>
      <w:r>
        <w:rPr>
          <w:rFonts w:ascii="Arial" w:cs="Arial" w:eastAsia="Arial" w:hAnsi="Arial"/>
          <w:sz w:val="11"/>
          <w:szCs w:val="11"/>
          <w:color w:val="auto"/>
        </w:rPr>
        <w:t>One hundred eighty days after the effective date of the registration statement of which this prospectus forms a part, the holders of 54,998,789 shares of our Class A common stock will be entitled to certain Form S-1 demand registration rights. We will not be required to effect a registration on Form S-1 (i) during the period that is 45 days before our good faith estimate of the date of filing of, and ending on a date that is 180 after the effective date of, a company-initiated registration, (ii) if we have previously effected one such registration, and (iii) if such shares are eligible to be registered pursuant to a Form S-3 registration statement.</w:t>
      </w:r>
    </w:p>
    <w:p>
      <w:pPr>
        <w:spacing w:after="0" w:line="124" w:lineRule="exact"/>
        <w:rPr>
          <w:sz w:val="20"/>
          <w:szCs w:val="20"/>
          <w:color w:val="auto"/>
        </w:rPr>
      </w:pPr>
    </w:p>
    <w:p>
      <w:pPr>
        <w:ind w:left="8" w:firstLine="319"/>
        <w:spacing w:after="0" w:line="264" w:lineRule="auto"/>
        <w:rPr>
          <w:sz w:val="20"/>
          <w:szCs w:val="20"/>
          <w:color w:val="auto"/>
        </w:rPr>
      </w:pPr>
      <w:r>
        <w:rPr>
          <w:rFonts w:ascii="Arial" w:cs="Arial" w:eastAsia="Arial" w:hAnsi="Arial"/>
          <w:sz w:val="11"/>
          <w:szCs w:val="11"/>
          <w:color w:val="auto"/>
        </w:rPr>
        <w:t>After the closing of this offering at any time when we are eligible to use a Form S-3 registration statement, holders of shares of our Class A common stock will be entitled to certain Form S-3 demand registration rights so long as the request covers at least that number of shares with an anticipated offering price, net of underwriting discounts, selling commissions and stock transfer taxes, of at least $5 million. These stockholders may make an unlimited number of requests for registration on Form S-3; however, we will not be required to effect a registration on Form S-3 (i) during the period that is 30 days before our good faith estimate of the date of filing of, and ending on a date that is 120 after the effective date of, a company-initiated registration, and (ii) if we have effected two such registrations within the 12-month period preceding the date of the request.</w:t>
      </w:r>
    </w:p>
    <w:p>
      <w:pPr>
        <w:spacing w:after="0" w:line="12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2" w:right="239" w:bottom="1440" w:gutter="0" w:footer="0" w:header="0"/>
        </w:sectPr>
      </w:pPr>
    </w:p>
    <w:bookmarkStart w:id="152" w:name="page153"/>
    <w:bookmarkEnd w:id="15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200" w:firstLine="319"/>
        <w:spacing w:after="0" w:line="239" w:lineRule="auto"/>
        <w:rPr>
          <w:sz w:val="20"/>
          <w:szCs w:val="20"/>
          <w:color w:val="auto"/>
        </w:rPr>
      </w:pPr>
      <w:r>
        <w:rPr>
          <w:rFonts w:ascii="Arial" w:cs="Arial" w:eastAsia="Arial" w:hAnsi="Arial"/>
          <w:sz w:val="12"/>
          <w:szCs w:val="12"/>
          <w:color w:val="auto"/>
        </w:rPr>
        <w:t>Additionally, if our board of directors determines, and our Chief Executive Officer certifies to such determination, that it would be materially detrimental to us and to our stockholders to effect a registration described above, we have the right to defer such registration, not more than once in any 12-month period, for a period of up to 90 days.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Piggyback Registration Rights</w:t>
      </w:r>
    </w:p>
    <w:p>
      <w:pPr>
        <w:spacing w:after="0" w:line="155"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If we propose to register the offer and sale of our Class A common stock under the Securities Act, in connection with the public offering of such common stock for cash, the holders of unregistered shares of our Class A common stock will be entitled to certain "piggyback" registration rights allowing these holders to include their shares in such registration, subject to certain marketing and other limitations. As a result, whenever we propose to file a registration statement under the Securities Act, other than with respect to (1) a registration relating to a company stock option, stock purchase or similar plan, (2) a registration relating to a corporate reorganization or other transaction pursuant to Rule 145 of the Securities Act, (3) a registration on any form that does not include substantially the same information as would be required to be included in a registration statement covering the sale of the registrable securities, or (4) a registration in which the only common stock being registered is common stock issuable upon conversion of debt securities that are also being registered, the holders of these shares are entitled to notice of the registration and have the right, subject to certain limitations, to include their unregistered shares in the registration.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Effects of Delaware Law and Our Certificate of Incorporation and Bylaws</w:t>
      </w:r>
    </w:p>
    <w:p>
      <w:pPr>
        <w:spacing w:after="0" w:line="155"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provisions of Delaware law and of our amended and restated certificate of incorporation and amended and restated bylaws to be effective on the closing of this offering may have the effect of delaying, deferring or discouraging another person from acquiring control of our company. These provisions, which are summarized below, may have the effect of discouraging takeover bids, coercive of otherwise.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Delaware Law</w:t>
      </w:r>
    </w:p>
    <w:p>
      <w:pPr>
        <w:spacing w:after="0" w:line="155" w:lineRule="exact"/>
        <w:rPr>
          <w:sz w:val="20"/>
          <w:szCs w:val="20"/>
          <w:color w:val="auto"/>
        </w:rPr>
      </w:pPr>
    </w:p>
    <w:p>
      <w:pPr>
        <w:ind w:right="100" w:firstLine="326"/>
        <w:spacing w:after="0" w:line="236" w:lineRule="auto"/>
        <w:rPr>
          <w:sz w:val="20"/>
          <w:szCs w:val="20"/>
          <w:color w:val="auto"/>
        </w:rPr>
      </w:pPr>
      <w:r>
        <w:rPr>
          <w:rFonts w:ascii="Arial" w:cs="Arial" w:eastAsia="Arial" w:hAnsi="Arial"/>
          <w:sz w:val="12"/>
          <w:szCs w:val="12"/>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our control.</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Certificate of Incorporation and Bylaws to be in Effect on the Closing of this Offering</w:t>
      </w:r>
    </w:p>
    <w:p>
      <w:pPr>
        <w:spacing w:after="0" w:line="155"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Our amended and restated certificate of incorporation and amended and restated bylaws to be effective on the closing of this offering will include a number of provisions, some of which will become effective only from and after the date, which we refer to as the threshold date, on which the votes applicable to the Class A common stock and Class B common stock controlled by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53" w:name="page154"/>
    <w:bookmarkEnd w:id="15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color w:val="auto"/>
        </w:rPr>
        <w:t>founder, Chief Executive Officer, President, and Chairman, Langley Steinert, represent less than a majority of the aggregate votes applicable to all shares of the outstanding Class A common stock and Class B common stock, that could deter hostile takeovers or delay or prevent changes in control of our management team, including the following:</w:t>
      </w:r>
    </w:p>
    <w:p>
      <w:pPr>
        <w:spacing w:after="0" w:line="127" w:lineRule="exact"/>
        <w:rPr>
          <w:sz w:val="20"/>
          <w:szCs w:val="20"/>
          <w:color w:val="auto"/>
        </w:rPr>
      </w:pPr>
    </w:p>
    <w:p>
      <w:pPr>
        <w:ind w:left="720" w:right="20" w:hanging="368"/>
        <w:spacing w:after="0" w:line="243" w:lineRule="auto"/>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Board Vacancies. </w:t>
      </w:r>
      <w:r>
        <w:rPr>
          <w:rFonts w:ascii="Arial" w:cs="Arial" w:eastAsia="Arial" w:hAnsi="Arial"/>
          <w:sz w:val="12"/>
          <w:szCs w:val="12"/>
          <w:color w:val="auto"/>
        </w:rPr>
        <w:t>Our amended and restated certificate of incorporation and amended and restated bylaws will provide that, from and after the threshold date only our board of directors will be authorized to</w:t>
      </w:r>
      <w:r>
        <w:rPr>
          <w:rFonts w:ascii="Arial" w:cs="Arial" w:eastAsia="Arial" w:hAnsi="Arial"/>
          <w:sz w:val="12"/>
          <w:szCs w:val="12"/>
          <w:i w:val="1"/>
          <w:iCs w:val="1"/>
          <w:color w:val="auto"/>
        </w:rPr>
        <w:t xml:space="preserve"> </w:t>
      </w:r>
      <w:r>
        <w:rPr>
          <w:rFonts w:ascii="Arial" w:cs="Arial" w:eastAsia="Arial" w:hAnsi="Arial"/>
          <w:sz w:val="12"/>
          <w:szCs w:val="12"/>
          <w:color w:val="auto"/>
        </w:rPr>
        <w:t>fill vacant directorships, including newly created seats, and that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These provisions make it more difficult to change the composition of our board of directors but promote continuity of management.</w:t>
      </w:r>
    </w:p>
    <w:p>
      <w:pPr>
        <w:spacing w:after="0" w:line="125" w:lineRule="exact"/>
        <w:rPr>
          <w:rFonts w:ascii="Arial" w:cs="Arial" w:eastAsia="Arial" w:hAnsi="Arial"/>
          <w:sz w:val="12"/>
          <w:szCs w:val="12"/>
          <w:color w:val="auto"/>
        </w:rPr>
      </w:pPr>
    </w:p>
    <w:p>
      <w:pPr>
        <w:ind w:left="720" w:right="20" w:hanging="368"/>
        <w:spacing w:after="0" w:line="247" w:lineRule="auto"/>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Classified Board. </w:t>
      </w:r>
      <w:r>
        <w:rPr>
          <w:rFonts w:ascii="Arial" w:cs="Arial" w:eastAsia="Arial" w:hAnsi="Arial"/>
          <w:sz w:val="12"/>
          <w:szCs w:val="12"/>
          <w:color w:val="auto"/>
        </w:rPr>
        <w:t>Our amended and restated certificate of incorporation and amended and restated bylaws will provide that our board of directors is classified into three classes of directors. A third party may</w:t>
      </w:r>
      <w:r>
        <w:rPr>
          <w:rFonts w:ascii="Arial" w:cs="Arial" w:eastAsia="Arial" w:hAnsi="Arial"/>
          <w:sz w:val="12"/>
          <w:szCs w:val="12"/>
          <w:i w:val="1"/>
          <w:iCs w:val="1"/>
          <w:color w:val="auto"/>
        </w:rPr>
        <w:t xml:space="preserve"> </w:t>
      </w:r>
      <w:r>
        <w:rPr>
          <w:rFonts w:ascii="Arial" w:cs="Arial" w:eastAsia="Arial" w:hAnsi="Arial"/>
          <w:sz w:val="12"/>
          <w:szCs w:val="12"/>
          <w:color w:val="auto"/>
        </w:rPr>
        <w:t>be discouraged from making a tender offer or otherwise attempting to obtain control of us as it is more difficult and time consuming for stockholders to replace a majority of the directors on a classified board of directors. See "Management — Board Composition" for additional information.</w:t>
      </w:r>
    </w:p>
    <w:p>
      <w:pPr>
        <w:spacing w:after="0" w:line="114" w:lineRule="exact"/>
        <w:rPr>
          <w:rFonts w:ascii="Arial" w:cs="Arial" w:eastAsia="Arial" w:hAnsi="Arial"/>
          <w:sz w:val="12"/>
          <w:szCs w:val="12"/>
          <w:color w:val="auto"/>
        </w:rPr>
      </w:pPr>
    </w:p>
    <w:p>
      <w:pPr>
        <w:ind w:left="720" w:hanging="368"/>
        <w:spacing w:after="0" w:line="239" w:lineRule="auto"/>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Stockholder Action; Special Meeting of Stockholders. </w:t>
      </w:r>
      <w:r>
        <w:rPr>
          <w:rFonts w:ascii="Arial" w:cs="Arial" w:eastAsia="Arial" w:hAnsi="Arial"/>
          <w:sz w:val="12"/>
          <w:szCs w:val="12"/>
          <w:color w:val="auto"/>
        </w:rPr>
        <w:t>Our amended and restated certificate of incorporation will provide that from and after the threshold date our stockholders may not take action by written</w:t>
      </w:r>
      <w:r>
        <w:rPr>
          <w:rFonts w:ascii="Arial" w:cs="Arial" w:eastAsia="Arial" w:hAnsi="Arial"/>
          <w:sz w:val="12"/>
          <w:szCs w:val="12"/>
          <w:i w:val="1"/>
          <w:iCs w:val="1"/>
          <w:color w:val="auto"/>
        </w:rPr>
        <w:t xml:space="preserve"> </w:t>
      </w:r>
      <w:r>
        <w:rPr>
          <w:rFonts w:ascii="Arial" w:cs="Arial" w:eastAsia="Arial" w:hAnsi="Arial"/>
          <w:sz w:val="12"/>
          <w:szCs w:val="12"/>
          <w:color w:val="auto"/>
        </w:rPr>
        <w:t>consent, but may only take action at annual or special meetings of our stockholders. As a result, from and after the threshold date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will further provide that special meetings of our stockholders may be called only by a majority of our board of directors, the chairman of our board of directors (if one has been appointed) or, prior to the threshold date, by the holders of a majority of the combined voting power of our outstanding capital stock, thus prohibiting from and after the threshold date a stockholder from calling a special meeting. These provisions might, from and after the threshold date, delay the ability of our stockholders to force consideration of a proposal or for stockholders controlling a majority of our capital stock to take any action, including the removal of directors.</w:t>
      </w:r>
    </w:p>
    <w:p>
      <w:pPr>
        <w:spacing w:after="0" w:line="118" w:lineRule="exact"/>
        <w:rPr>
          <w:rFonts w:ascii="Arial" w:cs="Arial" w:eastAsia="Arial" w:hAnsi="Arial"/>
          <w:sz w:val="12"/>
          <w:szCs w:val="12"/>
          <w:color w:val="auto"/>
        </w:rPr>
      </w:pPr>
    </w:p>
    <w:p>
      <w:pPr>
        <w:ind w:left="720" w:right="160" w:hanging="368"/>
        <w:spacing w:after="0" w:line="241" w:lineRule="auto"/>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Advance Notice Requirements for Stockholder Proposals and Director Nominations. </w:t>
      </w:r>
      <w:r>
        <w:rPr>
          <w:rFonts w:ascii="Arial" w:cs="Arial" w:eastAsia="Arial" w:hAnsi="Arial"/>
          <w:sz w:val="12"/>
          <w:szCs w:val="12"/>
          <w:color w:val="auto"/>
        </w:rPr>
        <w:t>Our amended and restated bylaws will provide advance notice procedures for stockholders seeking to bring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6" w:lineRule="exact"/>
        <w:rPr>
          <w:rFonts w:ascii="Arial" w:cs="Arial" w:eastAsia="Arial" w:hAnsi="Arial"/>
          <w:sz w:val="12"/>
          <w:szCs w:val="12"/>
          <w:color w:val="auto"/>
        </w:rPr>
      </w:pPr>
    </w:p>
    <w:p>
      <w:pPr>
        <w:ind w:left="720" w:hanging="368"/>
        <w:spacing w:after="0"/>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No Cumulative Voting. </w:t>
      </w:r>
      <w:r>
        <w:rPr>
          <w:rFonts w:ascii="Arial" w:cs="Arial" w:eastAsia="Arial" w:hAnsi="Arial"/>
          <w:sz w:val="12"/>
          <w:szCs w:val="12"/>
          <w:color w:val="auto"/>
        </w:rPr>
        <w:t>The Delaware General Corporation Law provides that stockholders are not entitled to the right to cumulate votes in the election of directors unless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54" w:name="page155"/>
    <w:bookmarkEnd w:id="15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spacing w:after="0"/>
        <w:rPr>
          <w:sz w:val="20"/>
          <w:szCs w:val="20"/>
          <w:color w:val="auto"/>
        </w:rPr>
      </w:pPr>
      <w:r>
        <w:rPr>
          <w:rFonts w:ascii="Arial" w:cs="Arial" w:eastAsia="Arial" w:hAnsi="Arial"/>
          <w:sz w:val="12"/>
          <w:szCs w:val="12"/>
          <w:color w:val="auto"/>
        </w:rPr>
        <w:t>corporation's certificate of incorporation provides otherwise. Our amended and restated certificate of incorporation will not provide for cumulative voting.</w:t>
      </w:r>
    </w:p>
    <w:p>
      <w:pPr>
        <w:spacing w:after="0" w:line="129" w:lineRule="exact"/>
        <w:rPr>
          <w:sz w:val="20"/>
          <w:szCs w:val="20"/>
          <w:color w:val="auto"/>
        </w:rPr>
      </w:pPr>
    </w:p>
    <w:p>
      <w:pPr>
        <w:ind w:left="720" w:hanging="368"/>
        <w:spacing w:after="0"/>
        <w:tabs>
          <w:tab w:leader="none" w:pos="720" w:val="left"/>
        </w:tabs>
        <w:numPr>
          <w:ilvl w:val="0"/>
          <w:numId w:val="93"/>
        </w:numPr>
        <w:rPr>
          <w:rFonts w:ascii="Arial" w:cs="Arial" w:eastAsia="Arial" w:hAnsi="Arial"/>
          <w:sz w:val="12"/>
          <w:szCs w:val="12"/>
          <w:color w:val="auto"/>
        </w:rPr>
      </w:pPr>
      <w:r>
        <w:rPr>
          <w:rFonts w:ascii="Arial" w:cs="Arial" w:eastAsia="Arial" w:hAnsi="Arial"/>
          <w:sz w:val="12"/>
          <w:szCs w:val="12"/>
          <w:i w:val="1"/>
          <w:iCs w:val="1"/>
          <w:color w:val="auto"/>
        </w:rPr>
        <w:t xml:space="preserve">Directors Removed Only for Cause. </w:t>
      </w:r>
      <w:r>
        <w:rPr>
          <w:rFonts w:ascii="Arial" w:cs="Arial" w:eastAsia="Arial" w:hAnsi="Arial"/>
          <w:sz w:val="12"/>
          <w:szCs w:val="12"/>
          <w:color w:val="auto"/>
        </w:rPr>
        <w:t>Our amended and restated certificate of incorporation will provide that from and after the threshold date stockholders may remove directors only for cause.</w:t>
      </w:r>
    </w:p>
    <w:p>
      <w:pPr>
        <w:spacing w:after="0" w:line="141" w:lineRule="exact"/>
        <w:rPr>
          <w:rFonts w:ascii="Arial" w:cs="Arial" w:eastAsia="Arial" w:hAnsi="Arial"/>
          <w:sz w:val="12"/>
          <w:szCs w:val="12"/>
          <w:color w:val="auto"/>
        </w:rPr>
      </w:pPr>
    </w:p>
    <w:p>
      <w:pPr>
        <w:ind w:left="720" w:right="120" w:hanging="368"/>
        <w:spacing w:after="0" w:line="282" w:lineRule="auto"/>
        <w:tabs>
          <w:tab w:leader="none" w:pos="720" w:val="left"/>
        </w:tabs>
        <w:numPr>
          <w:ilvl w:val="0"/>
          <w:numId w:val="93"/>
        </w:numPr>
        <w:rPr>
          <w:rFonts w:ascii="Arial" w:cs="Arial" w:eastAsia="Arial" w:hAnsi="Arial"/>
          <w:sz w:val="12"/>
          <w:szCs w:val="12"/>
          <w:color w:val="auto"/>
        </w:rPr>
      </w:pPr>
      <w:r>
        <w:rPr>
          <w:rFonts w:ascii="Arial" w:cs="Arial" w:eastAsia="Arial" w:hAnsi="Arial"/>
          <w:sz w:val="12"/>
          <w:szCs w:val="12"/>
          <w:i w:val="1"/>
          <w:iCs w:val="1"/>
          <w:color w:val="auto"/>
        </w:rPr>
        <w:t xml:space="preserve">Amendment of Certificate of Incorporation Provisions. </w:t>
      </w:r>
      <w:r>
        <w:rPr>
          <w:rFonts w:ascii="Arial" w:cs="Arial" w:eastAsia="Arial" w:hAnsi="Arial"/>
          <w:sz w:val="12"/>
          <w:szCs w:val="12"/>
          <w:color w:val="auto"/>
        </w:rPr>
        <w:t>Any amendment of the above provisions in our amended and restated certificate of incorporation from and after the threshold date will require approval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by holders of at least 66 </w:t>
      </w:r>
      <w:r>
        <w:rPr>
          <w:rFonts w:ascii="Arial" w:cs="Arial" w:eastAsia="Arial" w:hAnsi="Arial"/>
          <w:sz w:val="19"/>
          <w:szCs w:val="19"/>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combined voting power of our then outstanding capital stock.</w:t>
      </w:r>
    </w:p>
    <w:p>
      <w:pPr>
        <w:spacing w:after="0" w:line="13" w:lineRule="exact"/>
        <w:rPr>
          <w:rFonts w:ascii="Arial" w:cs="Arial" w:eastAsia="Arial" w:hAnsi="Arial"/>
          <w:sz w:val="12"/>
          <w:szCs w:val="12"/>
          <w:color w:val="auto"/>
        </w:rPr>
      </w:pPr>
    </w:p>
    <w:p>
      <w:pPr>
        <w:ind w:left="720" w:hanging="368"/>
        <w:spacing w:after="0" w:line="243" w:lineRule="auto"/>
        <w:tabs>
          <w:tab w:leader="none" w:pos="720" w:val="left"/>
        </w:tabs>
        <w:numPr>
          <w:ilvl w:val="0"/>
          <w:numId w:val="93"/>
        </w:numPr>
        <w:rPr>
          <w:rFonts w:ascii="Arial" w:cs="Arial" w:eastAsia="Arial" w:hAnsi="Arial"/>
          <w:sz w:val="12"/>
          <w:szCs w:val="12"/>
          <w:color w:val="auto"/>
        </w:rPr>
      </w:pPr>
      <w:r>
        <w:rPr>
          <w:rFonts w:ascii="Arial" w:cs="Arial" w:eastAsia="Arial" w:hAnsi="Arial"/>
          <w:sz w:val="12"/>
          <w:szCs w:val="12"/>
          <w:i w:val="1"/>
          <w:iCs w:val="1"/>
          <w:color w:val="auto"/>
        </w:rPr>
        <w:t xml:space="preserve">Issuance of Undesignated Preferred Stock. </w:t>
      </w:r>
      <w:r>
        <w:rPr>
          <w:rFonts w:ascii="Arial" w:cs="Arial" w:eastAsia="Arial" w:hAnsi="Arial"/>
          <w:sz w:val="12"/>
          <w:szCs w:val="12"/>
          <w:color w:val="auto"/>
        </w:rPr>
        <w:t>Our board of directors has the authority to issue up to 10,000,000 shares of undesignated preferred stock with rights and preferences, including voting rights,</w:t>
      </w:r>
      <w:r>
        <w:rPr>
          <w:rFonts w:ascii="Arial" w:cs="Arial" w:eastAsia="Arial" w:hAnsi="Arial"/>
          <w:sz w:val="12"/>
          <w:szCs w:val="12"/>
          <w:i w:val="1"/>
          <w:iCs w:val="1"/>
          <w:color w:val="auto"/>
        </w:rPr>
        <w:t xml:space="preserve"> </w:t>
      </w:r>
      <w:r>
        <w:rPr>
          <w:rFonts w:ascii="Arial" w:cs="Arial" w:eastAsia="Arial" w:hAnsi="Arial"/>
          <w:sz w:val="12"/>
          <w:szCs w:val="12"/>
          <w:color w:val="auto"/>
        </w:rPr>
        <w:t>designated from time to time by our board of directors, provided that prior to the threshold date such designation is subject to the approval of holders of a majority of the combined voting power of our outstanding common stock.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55" w:lineRule="exact"/>
        <w:rPr>
          <w:sz w:val="20"/>
          <w:szCs w:val="20"/>
          <w:color w:val="auto"/>
        </w:rPr>
      </w:pPr>
    </w:p>
    <w:p>
      <w:pPr>
        <w:ind w:right="560" w:firstLine="326"/>
        <w:spacing w:after="0" w:line="239" w:lineRule="auto"/>
        <w:rPr>
          <w:sz w:val="20"/>
          <w:szCs w:val="20"/>
          <w:color w:val="auto"/>
        </w:rPr>
      </w:pPr>
      <w:r>
        <w:rPr>
          <w:rFonts w:ascii="Arial" w:cs="Arial" w:eastAsia="Arial" w:hAnsi="Arial"/>
          <w:sz w:val="12"/>
          <w:szCs w:val="12"/>
          <w:color w:val="auto"/>
        </w:rPr>
        <w:t>Upon the closing of this offering, the transfer agent and registrar for our Class A common stock will be Broadridge Corporate Issuer Solutions. The transfer agent and registrar's address is 1717 Arch Street, Suite 1300, Philadelphia, Pennsylvania 19103.</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Listing</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Class A common stock has been approved for listing on the NASDAQ Global Select Market under the symbol "CARG."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55" w:name="page156"/>
    <w:bookmarkEnd w:id="15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SHARES ELIGIBLE FOR FUTURE SALE</w:t>
      </w:r>
    </w:p>
    <w:p>
      <w:pPr>
        <w:spacing w:after="0" w:line="155"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41"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Following the closing of this offering, based on the number of shares of our capital stock outstanding at June 30, 2017 (assuming the automatic conversion of all outstanding shares of our preferred stock into an aggregate of 60,564,678 shares of Class A common stock upon the closing of this offering) and including the issuance of 2,500,000 shares of Class A common stock offered by us in this offering, we will have a total of 77,145,294 shares of Class A common stock outstanding and 28,161,232 shares of Class B common stock outstanding. Of these outstanding shares, all of the shares of Class A common stock sold in this offering by us and the selling stockholders plus any shares sold upon exercise of the underwriters' option to purchase up to an additional 1,410,000 shares of Class A common stock from us and certain selling stockholders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1" w:lineRule="exact"/>
        <w:rPr>
          <w:sz w:val="20"/>
          <w:szCs w:val="20"/>
          <w:color w:val="auto"/>
        </w:rPr>
      </w:pPr>
    </w:p>
    <w:p>
      <w:pPr>
        <w:ind w:right="40" w:firstLine="323"/>
        <w:spacing w:after="0" w:line="236" w:lineRule="auto"/>
        <w:rPr>
          <w:sz w:val="20"/>
          <w:szCs w:val="20"/>
          <w:color w:val="auto"/>
        </w:rPr>
      </w:pPr>
      <w:r>
        <w:rPr>
          <w:rFonts w:ascii="Arial" w:cs="Arial" w:eastAsia="Arial" w:hAnsi="Arial"/>
          <w:sz w:val="12"/>
          <w:szCs w:val="12"/>
          <w:color w:val="auto"/>
        </w:rPr>
        <w:t>The remaining outstanding shares of our Class A common stock, the shares of our Class B common stock, and the shares of Class A common stock issued upon conversion of our Class B common stock will be deemed "restricted securities" as that term is defined in Rule 144 under the Securities Act. Restricted securities may be sold in the public market only if they are registered or if they qualify for an exemption from registration under Rule 144 or Rule 701 under the Securities Act, which rules are summarized below. In addition, holders of all or substantially all of our equity securities have entered into or will enter into lock-up agreements with the underwriters under which they have agreed, subject to specific exceptions, not to sell any of our stock for a period of time following the date of this prospectus, as described below. As a result of these agreements, subject to the provisions of Rule 144 or Rule 701, shares will be available for sale in the public market as follows:</w:t>
      </w:r>
    </w:p>
    <w:p>
      <w:pPr>
        <w:spacing w:after="0" w:line="141" w:lineRule="exact"/>
        <w:rPr>
          <w:sz w:val="20"/>
          <w:szCs w:val="20"/>
          <w:color w:val="auto"/>
        </w:rPr>
      </w:pPr>
    </w:p>
    <w:p>
      <w:pPr>
        <w:ind w:left="720" w:hanging="368"/>
        <w:spacing w:after="0"/>
        <w:tabs>
          <w:tab w:leader="none" w:pos="7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beginning on the date of this prospectus, the 9,400,000 shares of Class A common stock sold in this offering will be immediately available for sale in the public market;</w:t>
      </w:r>
    </w:p>
    <w:p>
      <w:pPr>
        <w:spacing w:after="0" w:line="141" w:lineRule="exact"/>
        <w:rPr>
          <w:rFonts w:ascii="Arial" w:cs="Arial" w:eastAsia="Arial" w:hAnsi="Arial"/>
          <w:sz w:val="12"/>
          <w:szCs w:val="12"/>
          <w:color w:val="auto"/>
        </w:rPr>
      </w:pPr>
    </w:p>
    <w:p>
      <w:pPr>
        <w:ind w:left="720" w:right="400" w:hanging="368"/>
        <w:spacing w:after="0" w:line="239" w:lineRule="auto"/>
        <w:tabs>
          <w:tab w:leader="none" w:pos="7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beginning 181 days after the date of this prospectus, 67,745,294 additional shares of Class A common stock will become eligible for sale in the public market, of which 49,687,535 shares will be held by affiliates and subject to the volume and other restrictions of Rule 144, as described below; and</w:t>
      </w:r>
    </w:p>
    <w:p>
      <w:pPr>
        <w:spacing w:after="0" w:line="130" w:lineRule="exact"/>
        <w:rPr>
          <w:rFonts w:ascii="Arial" w:cs="Arial" w:eastAsia="Arial" w:hAnsi="Arial"/>
          <w:sz w:val="12"/>
          <w:szCs w:val="12"/>
          <w:color w:val="auto"/>
        </w:rPr>
      </w:pPr>
    </w:p>
    <w:p>
      <w:pPr>
        <w:ind w:left="720" w:right="320" w:hanging="368"/>
        <w:spacing w:after="0" w:line="239" w:lineRule="auto"/>
        <w:tabs>
          <w:tab w:leader="none" w:pos="7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remainder of the shares of common stock will be eligible for sale in the public market from time to time thereafter, subject in some cases to the volume and other restrictions of Rule 144, as described below.</w:t>
      </w:r>
    </w:p>
    <w:p>
      <w:pPr>
        <w:spacing w:after="0" w:line="139" w:lineRule="exact"/>
        <w:rPr>
          <w:sz w:val="20"/>
          <w:szCs w:val="20"/>
          <w:color w:val="auto"/>
        </w:rPr>
      </w:pPr>
    </w:p>
    <w:p>
      <w:pPr>
        <w:ind w:right="300" w:firstLine="326"/>
        <w:spacing w:after="0" w:line="239" w:lineRule="auto"/>
        <w:rPr>
          <w:sz w:val="20"/>
          <w:szCs w:val="20"/>
          <w:color w:val="auto"/>
        </w:rPr>
      </w:pPr>
      <w:r>
        <w:rPr>
          <w:rFonts w:ascii="Arial" w:cs="Arial" w:eastAsia="Arial" w:hAnsi="Arial"/>
          <w:sz w:val="12"/>
          <w:szCs w:val="12"/>
          <w:color w:val="auto"/>
        </w:rPr>
        <w:t>In addition, as of June 30, 2017, a total of 1,737,056 shares of Class A common and 3,474,112 shares of Class B common stock were subject to outstanding options and 789,934 shares of Class A common and 1,579,868 shares of Class B common stock were subject to outstanding RSUs. Of these shares, the shares issuable upon the exercise of vested options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156" w:name="page157"/>
    <w:bookmarkEnd w:id="15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purchase Class A common stock or Class B common stock and upon the settlement of vested RSUs will be eligible for public sale subject to the lock-up agreements and securities laws described below.</w:t>
      </w:r>
    </w:p>
    <w:p>
      <w:pPr>
        <w:spacing w:after="0" w:line="141"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Each outstanding share of Class B common stock will convert automatically into one share of Class A common stock upon its public sale or other transfer, whether or not for value and whether voluntary or involuntary or by operation of law, except for certain exceptions and permitted transfers described in our certificate of incorporation.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55" w:lineRule="exact"/>
        <w:rPr>
          <w:sz w:val="20"/>
          <w:szCs w:val="20"/>
          <w:color w:val="auto"/>
        </w:rPr>
      </w:pPr>
    </w:p>
    <w:p>
      <w:pPr>
        <w:ind w:right="80" w:firstLine="326"/>
        <w:spacing w:after="0" w:line="236" w:lineRule="auto"/>
        <w:rPr>
          <w:sz w:val="20"/>
          <w:szCs w:val="20"/>
          <w:color w:val="auto"/>
        </w:rPr>
      </w:pPr>
      <w:r>
        <w:rPr>
          <w:rFonts w:ascii="Arial" w:cs="Arial" w:eastAsia="Arial" w:hAnsi="Arial"/>
          <w:sz w:val="12"/>
          <w:szCs w:val="12"/>
          <w:color w:val="auto"/>
        </w:rPr>
        <w:t>In connection with our initial public offering, we, our selling stockholders, our officers and directors, and holders of substantially all of our Class A common stock, Class B common stock, and other securities convertible into or exchangeable for our Class A common stock or Class B common stock, have agreed that, subject to certain exceptions and under certain conditions, for a period commencing on the date of the agreement and ending 180 days after the date of this prospectus, we and they will not, without the prior written consent of Goldman Sachs &amp; Co. LLC, offer, sell, contract to sell, pledge, grant any option to purchase, make any short sale or otherwise dispose of any shares of our capital stock, or any options, restricted stock units, or other securities convertible into, exchangeable for, or that represent the right to receive shares of our capital stock, whether now owned or hereafter acquired, owned directly by the undersigned (including holding as a custodian) or with respect to which the undersigned has beneficial ownership within the rules and regulations of the SEC. Goldman Sachs &amp; Co. LLC may, in their discretion, release any of the securities subject to these lock-up agreements at any time. See the section titled "Underwriting (Conflicts of Interest)"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55"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100" w:firstLine="326"/>
        <w:spacing w:after="0" w:line="239" w:lineRule="auto"/>
        <w:rPr>
          <w:sz w:val="20"/>
          <w:szCs w:val="20"/>
          <w:color w:val="auto"/>
        </w:rPr>
      </w:pPr>
      <w:r>
        <w:rPr>
          <w:rFonts w:ascii="Arial" w:cs="Arial" w:eastAsia="Arial" w:hAnsi="Arial"/>
          <w:sz w:val="12"/>
          <w:szCs w:val="12"/>
          <w:color w:val="auto"/>
        </w:rPr>
        <w:t>In general, under Rule 144, as currently in effect, and upon expiration of the lock-up agreements described above, our affiliates or persons selling shares on behalf of our affiliates are entitled to sell within any three-month period, a number of shares that does not exceed the greater of:</w:t>
      </w:r>
    </w:p>
    <w:p>
      <w:pPr>
        <w:spacing w:after="0" w:line="139" w:lineRule="exact"/>
        <w:rPr>
          <w:sz w:val="20"/>
          <w:szCs w:val="20"/>
          <w:color w:val="auto"/>
        </w:rPr>
      </w:pPr>
    </w:p>
    <w:p>
      <w:pPr>
        <w:ind w:left="720" w:hanging="368"/>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1% of the number of shares of our Class A common stock then outstanding, which will equal approximately 771,453 shares immediately after this offering; or</w:t>
      </w:r>
    </w:p>
    <w:p>
      <w:pPr>
        <w:spacing w:after="0" w:line="141" w:lineRule="exact"/>
        <w:rPr>
          <w:rFonts w:ascii="Arial" w:cs="Arial" w:eastAsia="Arial" w:hAnsi="Arial"/>
          <w:sz w:val="12"/>
          <w:szCs w:val="12"/>
          <w:color w:val="auto"/>
        </w:rPr>
      </w:pPr>
    </w:p>
    <w:p>
      <w:pPr>
        <w:ind w:right="1720" w:firstLine="352"/>
        <w:spacing w:after="0" w:line="529" w:lineRule="auto"/>
        <w:tabs>
          <w:tab w:leader="none" w:pos="721"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the average weekly trading volume of our Class A common stock during the four calendar weeks preceding the filing of a notice on Form 144 with respect to that sale; provided, in each case, that we have been subject to the Exchange Act periodic reporting requirements for at least 90 days before the sale. Sales under Rule 144 by our affiliates or persons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57" w:name="page158"/>
    <w:bookmarkEnd w:id="15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selling shares on behalf of our affiliates are also subject to certain manner of sale provisions and notice requirements and to the availability of current public information about us.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701</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Rule 701 generally allows a stockholder who purchased shares of our Class A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w:t>
      </w:r>
    </w:p>
    <w:p>
      <w:pPr>
        <w:spacing w:after="0" w:line="155"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Pursuant to our amended and restated investor rights agreement, the holders of 54,998,789 shares of our Class A common stock (including shares issuable upon the conversion of our outstanding convertible preferred stock upon the closing of this offering), or their transferees, will be entitled to certain rights with respect to the registration of the offer and sale of those shares under the Securities Act. See the section titled "Description of Capital Stock — 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Incentive Plans</w:t>
      </w:r>
    </w:p>
    <w:p>
      <w:pPr>
        <w:spacing w:after="0" w:line="155"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Following the closing of this offering, we intend to file a registration statement on Form S-8 under the Securities Act to register shares of our Class A common stock and Class B common stock issued under our 2015 Plan and our Class A common stock reserved for issuance under our 2017 Equity Incentive Plan. The registration statement on Form S-8 will become effective immediately upon filing, and shares covered by such registration statement will thereupon be eligible for sale in the public markets, subject to vesting restrictions, the lock-up agreements described above and Rule 144 limitations applicable to affiliates. See the section titled "Executive Compensation — Employee Benefits and Stock Plans" for additional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58" w:name="page159"/>
    <w:bookmarkEnd w:id="15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MATERIAL U.S. FEDERAL INCOME AND ESTATE TAX CONSEQUENCES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NON-U.S. HOLDERS</w:t>
      </w:r>
    </w:p>
    <w:p>
      <w:pPr>
        <w:spacing w:after="0" w:line="141" w:lineRule="exact"/>
        <w:rPr>
          <w:sz w:val="20"/>
          <w:szCs w:val="20"/>
          <w:color w:val="auto"/>
        </w:rPr>
      </w:pPr>
    </w:p>
    <w:p>
      <w:pPr>
        <w:jc w:val="both"/>
        <w:ind w:right="20" w:firstLine="323"/>
        <w:spacing w:after="0" w:line="237" w:lineRule="auto"/>
        <w:rPr>
          <w:sz w:val="20"/>
          <w:szCs w:val="20"/>
          <w:color w:val="auto"/>
        </w:rPr>
      </w:pPr>
      <w:r>
        <w:rPr>
          <w:rFonts w:ascii="Arial" w:cs="Arial" w:eastAsia="Arial" w:hAnsi="Arial"/>
          <w:sz w:val="12"/>
          <w:szCs w:val="12"/>
          <w:color w:val="auto"/>
        </w:rPr>
        <w:t>The following is a discussion of the material U.S. federal income and estate tax consequences of the acquisition, ownership, and disposition of our Class A common stock to a non-U.S. holder that purchases shares of our Class A common stock for cash in this offering. For purposes of this discussion, a "non-U.S. holder" means a beneficial owner (other than a partnership or other pass-through entity) of our Class A common stock that is not, for U.S. federal income tax purposes:</w:t>
      </w:r>
    </w:p>
    <w:p>
      <w:pPr>
        <w:spacing w:after="0" w:line="141" w:lineRule="exact"/>
        <w:rPr>
          <w:sz w:val="20"/>
          <w:szCs w:val="20"/>
          <w:color w:val="auto"/>
        </w:rPr>
      </w:pPr>
    </w:p>
    <w:p>
      <w:pPr>
        <w:ind w:left="720" w:hanging="368"/>
        <w:spacing w:after="0"/>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 individual who is a citizen or resident of the United States;</w:t>
      </w:r>
    </w:p>
    <w:p>
      <w:pPr>
        <w:spacing w:after="0" w:line="141" w:lineRule="exact"/>
        <w:rPr>
          <w:rFonts w:ascii="Arial" w:cs="Arial" w:eastAsia="Arial" w:hAnsi="Arial"/>
          <w:sz w:val="12"/>
          <w:szCs w:val="12"/>
          <w:color w:val="auto"/>
        </w:rPr>
      </w:pPr>
    </w:p>
    <w:p>
      <w:pPr>
        <w:ind w:left="720" w:hanging="368"/>
        <w:spacing w:after="0" w:line="239" w:lineRule="auto"/>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30" w:lineRule="exact"/>
        <w:rPr>
          <w:rFonts w:ascii="Arial" w:cs="Arial" w:eastAsia="Arial" w:hAnsi="Arial"/>
          <w:sz w:val="12"/>
          <w:szCs w:val="12"/>
          <w:color w:val="auto"/>
        </w:rPr>
      </w:pPr>
    </w:p>
    <w:p>
      <w:pPr>
        <w:ind w:left="720" w:hanging="368"/>
        <w:spacing w:after="0"/>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 regardless of its source; or</w:t>
      </w:r>
    </w:p>
    <w:p>
      <w:pPr>
        <w:spacing w:after="0" w:line="132" w:lineRule="exact"/>
        <w:rPr>
          <w:rFonts w:ascii="Arial" w:cs="Arial" w:eastAsia="Arial" w:hAnsi="Arial"/>
          <w:sz w:val="12"/>
          <w:szCs w:val="12"/>
          <w:color w:val="auto"/>
        </w:rPr>
      </w:pPr>
    </w:p>
    <w:p>
      <w:pPr>
        <w:ind w:left="720" w:right="140" w:hanging="368"/>
        <w:spacing w:after="0" w:line="239" w:lineRule="auto"/>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39"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This discussion does not address the tax treatment of partnerships (or other entities that are treated as partnerships, grantor trusts, or other pass-through entities for U.S. federal income tax purposes) or persons that hold their Class A common stock through partnerships, grantor trusts, or other pass-through entities. The tax treatment of a partner in a partnership or holder of an interest in another pass-through entity that will hold our Class A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Class A common stock through a partnership or other pass-through entity, as applicable.</w:t>
      </w:r>
    </w:p>
    <w:p>
      <w:pPr>
        <w:spacing w:after="0" w:line="141" w:lineRule="exact"/>
        <w:rPr>
          <w:sz w:val="20"/>
          <w:szCs w:val="20"/>
          <w:color w:val="auto"/>
        </w:rPr>
      </w:pPr>
    </w:p>
    <w:p>
      <w:pPr>
        <w:ind w:right="240" w:firstLine="323"/>
        <w:spacing w:after="0" w:line="236" w:lineRule="auto"/>
        <w:rPr>
          <w:sz w:val="20"/>
          <w:szCs w:val="20"/>
          <w:color w:val="auto"/>
        </w:rPr>
      </w:pPr>
      <w:r>
        <w:rPr>
          <w:rFonts w:ascii="Arial" w:cs="Arial" w:eastAsia="Arial" w:hAnsi="Arial"/>
          <w:sz w:val="12"/>
          <w:szCs w:val="12"/>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Class A common stock, or that any such contrary position would not be sustained by a court.</w:t>
      </w:r>
    </w:p>
    <w:p>
      <w:pPr>
        <w:spacing w:after="0" w:line="141" w:lineRule="exact"/>
        <w:rPr>
          <w:sz w:val="20"/>
          <w:szCs w:val="20"/>
          <w:color w:val="auto"/>
        </w:rPr>
      </w:pPr>
    </w:p>
    <w:p>
      <w:pPr>
        <w:ind w:right="200" w:firstLine="323"/>
        <w:spacing w:after="0" w:line="237" w:lineRule="auto"/>
        <w:rPr>
          <w:sz w:val="20"/>
          <w:szCs w:val="20"/>
          <w:color w:val="auto"/>
        </w:rPr>
      </w:pPr>
      <w:r>
        <w:rPr>
          <w:rFonts w:ascii="Arial" w:cs="Arial" w:eastAsia="Arial" w:hAnsi="Arial"/>
          <w:sz w:val="12"/>
          <w:szCs w:val="12"/>
          <w:color w:val="auto"/>
        </w:rPr>
        <w:t>This discussion is not a complete analysis of all of the potential U.S. federal income and estate tax consequences relating to the acquisition, ownership, and disposition of our Class A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48" w:lineRule="exact"/>
        <w:rPr>
          <w:sz w:val="20"/>
          <w:szCs w:val="20"/>
          <w:color w:val="auto"/>
        </w:rPr>
      </w:pPr>
    </w:p>
    <w:p>
      <w:pPr>
        <w:ind w:left="720" w:hanging="368"/>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non-U.S. governments, agencies or instrumentalities thereof, or entities they control;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59" w:name="page160"/>
    <w:bookmarkEnd w:id="15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"controlled foreign corporations" and their shareholders;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"passive foreign investment companies" and their shareholders;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partnerships, grantor trusts or other entities that are treated as pass-through entities for U.S. federal income tax purposes, and their owners;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corporations that accumulate earnings to avoid U.S. federal income tax;</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former citizens or former long-term residents of the United States;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banks, insurance companies or other financial institutions;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tax-exempt pension funds or other tax-exempt organizations;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persons who acquired our Class A common stock pursuant to the exercise of employee stock options or otherwise as compensation;</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tax-qualified retirement plans;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traders, brokers, or dealers in securities, commodities, or currencies;</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persons who hold our Class A common stock as a position in a hedging transaction, wash sale, "straddle," "conversion transaction" or other risk reduction transaction or synthetic security;</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persons who do not hold our Class A common stock as a capital asset within the meaning of Section 1221 of the Code (generally, for investment purposes);</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persons who own or have owned, or are deemed to own or to have owned, more than 5% of our Class A common stock (except to the extent specifically set forth below); or</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persons deemed to sell our Class A common stock under the constructive sale provisions of the Code.</w:t>
      </w:r>
    </w:p>
    <w:p>
      <w:pPr>
        <w:spacing w:after="0" w:line="141"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Prospective investors should consult their own tax advisors regarding the particular U.S. federal income, estate, gift, and generation-skipping transfer tax consequences to them of acquiring, owning, and disposing of our Class A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Distributions on Class A Common Stock</w:t>
      </w:r>
    </w:p>
    <w:p>
      <w:pPr>
        <w:spacing w:after="0" w:line="155" w:lineRule="exact"/>
        <w:rPr>
          <w:sz w:val="20"/>
          <w:szCs w:val="20"/>
          <w:color w:val="auto"/>
        </w:rPr>
      </w:pPr>
    </w:p>
    <w:p>
      <w:pPr>
        <w:ind w:firstLine="319"/>
        <w:spacing w:after="0" w:line="236" w:lineRule="auto"/>
        <w:rPr>
          <w:sz w:val="20"/>
          <w:szCs w:val="20"/>
          <w:color w:val="auto"/>
        </w:rPr>
      </w:pPr>
      <w:r>
        <w:rPr>
          <w:rFonts w:ascii="Arial" w:cs="Arial" w:eastAsia="Arial" w:hAnsi="Arial"/>
          <w:sz w:val="12"/>
          <w:szCs w:val="12"/>
          <w:color w:val="auto"/>
        </w:rPr>
        <w:t>As described in the section entitled "Dividend Policy," we currently intend to retain any earnings for use in the operation of our business and do not anticipate paying any dividends on our Class A common stock in the foreseeable future. The disclosure in this section addresses the consequences should our board of directors, in the future, determine to make a distribution of cash or property with respect to our Class A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Class A common stock with respect to which the distribution is made. Any such excess allocated to a share of Class A common stock will constitute a return of capital to the extent of the non-U.S.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60" w:name="page161"/>
    <w:bookmarkEnd w:id="16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holder's adjusted tax basis in that share of Class A common stock, reducing that adjusted tax basis, but not below zero. After the non-U.S. holder's adjusted tax basis in a share of Class A common stock has been reduced to zero, any remaining excess allocated to that share of Class A common stock will be treated as capital gain from the sale of that share of Class A common stock, subject to the tax treatment described below under "Gain on Disposition of Class A Common Stock." Any such distributions will also be subject to the discussion below regarding backup withholding and foreign accounts. A non-U.S. holder's adjusted tax basis in a share of Class A common stock is generally the purchase price of the share, reduced by the amount of any distributions constituting a return of capital with respect to that share.</w:t>
      </w:r>
    </w:p>
    <w:p>
      <w:pPr>
        <w:spacing w:after="0" w:line="139" w:lineRule="exact"/>
        <w:rPr>
          <w:sz w:val="20"/>
          <w:szCs w:val="20"/>
          <w:color w:val="auto"/>
        </w:rPr>
      </w:pPr>
    </w:p>
    <w:p>
      <w:pPr>
        <w:ind w:right="20" w:firstLine="319"/>
        <w:spacing w:after="0" w:line="236" w:lineRule="auto"/>
        <w:rPr>
          <w:sz w:val="20"/>
          <w:szCs w:val="20"/>
          <w:color w:val="auto"/>
        </w:rPr>
      </w:pPr>
      <w:r>
        <w:rPr>
          <w:rFonts w:ascii="Arial" w:cs="Arial" w:eastAsia="Arial" w:hAnsi="Arial"/>
          <w:sz w:val="12"/>
          <w:szCs w:val="12"/>
          <w:color w:val="auto"/>
        </w:rPr>
        <w:t>Any dividend paid to a non-U.S. holder of our Class A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Class A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39"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If a non-U.S. holder holds our Class A common stock in connection with the conduct of a trade or business in the U.S., and dividends paid on the Class A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Class A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61" w:name="page162"/>
    <w:bookmarkEnd w:id="16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 on Disposition of Class A Common Stock</w:t>
      </w:r>
    </w:p>
    <w:p>
      <w:pPr>
        <w:spacing w:after="0" w:line="155" w:lineRule="exact"/>
        <w:rPr>
          <w:sz w:val="20"/>
          <w:szCs w:val="20"/>
          <w:color w:val="auto"/>
        </w:rPr>
      </w:pPr>
    </w:p>
    <w:p>
      <w:pPr>
        <w:ind w:right="160" w:firstLine="326"/>
        <w:spacing w:after="0" w:line="239" w:lineRule="auto"/>
        <w:rPr>
          <w:sz w:val="20"/>
          <w:szCs w:val="20"/>
          <w:color w:val="auto"/>
        </w:rPr>
      </w:pPr>
      <w:r>
        <w:rPr>
          <w:rFonts w:ascii="Arial" w:cs="Arial" w:eastAsia="Arial" w:hAnsi="Arial"/>
          <w:sz w:val="12"/>
          <w:szCs w:val="12"/>
          <w:color w:val="auto"/>
        </w:rPr>
        <w:t>Subject to the discussion below regarding backup withholding and foreign accounts, a non-U.S. holder generally will not be subject to U.S. federal income tax on any gain realized upon the sale, exchange, or other taxable disposition of our Class A common stock unless:</w:t>
      </w:r>
    </w:p>
    <w:p>
      <w:pPr>
        <w:spacing w:after="0" w:line="139" w:lineRule="exact"/>
        <w:rPr>
          <w:sz w:val="20"/>
          <w:szCs w:val="20"/>
          <w:color w:val="auto"/>
        </w:rPr>
      </w:pPr>
    </w:p>
    <w:p>
      <w:pPr>
        <w:ind w:left="720" w:right="120" w:hanging="368"/>
        <w:spacing w:after="0" w:line="236" w:lineRule="auto"/>
        <w:tabs>
          <w:tab w:leader="none" w:pos="7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41" w:lineRule="exact"/>
        <w:rPr>
          <w:rFonts w:ascii="Arial" w:cs="Arial" w:eastAsia="Arial" w:hAnsi="Arial"/>
          <w:sz w:val="12"/>
          <w:szCs w:val="12"/>
          <w:color w:val="auto"/>
        </w:rPr>
      </w:pPr>
    </w:p>
    <w:p>
      <w:pPr>
        <w:ind w:left="720" w:hanging="368"/>
        <w:spacing w:after="0" w:line="237" w:lineRule="auto"/>
        <w:tabs>
          <w:tab w:leader="none" w:pos="7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30" w:lineRule="exact"/>
        <w:rPr>
          <w:rFonts w:ascii="Arial" w:cs="Arial" w:eastAsia="Arial" w:hAnsi="Arial"/>
          <w:sz w:val="12"/>
          <w:szCs w:val="12"/>
          <w:color w:val="auto"/>
        </w:rPr>
      </w:pPr>
    </w:p>
    <w:p>
      <w:pPr>
        <w:ind w:left="720" w:right="20" w:hanging="368"/>
        <w:spacing w:after="0" w:line="239" w:lineRule="auto"/>
        <w:tabs>
          <w:tab w:leader="none" w:pos="7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our Class A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Class A common stock is "regularly traded," as defined by applicable U.S. Treasury regulations, on an established securities market, sales of our Class A common stock generally will not be subject to tax for non-U.S. holders that have not held more than 5% of our Class A common stock, actually or constructively, during the five-year period preceding such non-U.S. holder's sale, exchange or other taxable disposition of our Class A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Class A common stock will be regularly traded on an established securities market for purposes of the rule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155" w:lineRule="exact"/>
        <w:rPr>
          <w:sz w:val="20"/>
          <w:szCs w:val="20"/>
          <w:color w:val="auto"/>
        </w:rPr>
      </w:pPr>
    </w:p>
    <w:p>
      <w:pPr>
        <w:ind w:right="280" w:firstLine="326"/>
        <w:spacing w:after="0" w:line="239" w:lineRule="auto"/>
        <w:rPr>
          <w:sz w:val="20"/>
          <w:szCs w:val="20"/>
          <w:color w:val="auto"/>
        </w:rPr>
      </w:pPr>
      <w:r>
        <w:rPr>
          <w:rFonts w:ascii="Arial" w:cs="Arial" w:eastAsia="Arial" w:hAnsi="Arial"/>
          <w:sz w:val="12"/>
          <w:szCs w:val="12"/>
          <w:color w:val="auto"/>
        </w:rPr>
        <w:t>Generally, we or certain financial middlemen must report annually to the IRS and to each non-U.S. holder the gross amount of dividends and other distributions on our Class A common stock paid to the non-U.S. holder and the amount of tax withheld, if any, with respect to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62" w:name="page163"/>
    <w:bookmarkEnd w:id="16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distributions. Pursuant to applicable income tax treaties or other agreements, the IRS may make these reports available to tax authorities in the non-U.S. holder's country of residence or incorporation.</w:t>
      </w:r>
    </w:p>
    <w:p>
      <w:pPr>
        <w:spacing w:after="0" w:line="141" w:lineRule="exact"/>
        <w:rPr>
          <w:sz w:val="20"/>
          <w:szCs w:val="20"/>
          <w:color w:val="auto"/>
        </w:rPr>
      </w:pPr>
    </w:p>
    <w:p>
      <w:pPr>
        <w:ind w:right="80" w:firstLine="319"/>
        <w:spacing w:after="0" w:line="237" w:lineRule="auto"/>
        <w:rPr>
          <w:sz w:val="20"/>
          <w:szCs w:val="20"/>
          <w:color w:val="auto"/>
        </w:rPr>
      </w:pPr>
      <w:r>
        <w:rPr>
          <w:rFonts w:ascii="Arial" w:cs="Arial" w:eastAsia="Arial" w:hAnsi="Arial"/>
          <w:sz w:val="12"/>
          <w:szCs w:val="12"/>
          <w:color w:val="auto"/>
        </w:rPr>
        <w:t>A non-U.S. holder may be subject to backup withholding with respect to dividends paid on shares of our Class A common stock, unless, generally, the non-U.S. holder certifies under penalties of perjury (usually on IRS Form W-8BEN or W-8BEN-E) that the non-U.S. holder is not a U.S. person or otherwise establishes an exemption. The backup withholding rate is currently 28%. Dividends that are paid to non-U.S. holders subject to the withholding of U.S. federal income tax, as described above under the heading "Distributions on Class A Common Stock," generally will be exempt from U.S. backup withholding.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Additional rules relating to information reporting requirements and backup withholding with respect to payments of the proceeds from the disposition of shares of our Class A common stock are as follows:</w:t>
      </w:r>
    </w:p>
    <w:p>
      <w:pPr>
        <w:spacing w:after="0" w:line="141" w:lineRule="exact"/>
        <w:rPr>
          <w:sz w:val="20"/>
          <w:szCs w:val="20"/>
          <w:color w:val="auto"/>
        </w:rPr>
      </w:pPr>
    </w:p>
    <w:p>
      <w:pPr>
        <w:ind w:left="720" w:right="100" w:hanging="368"/>
        <w:spacing w:after="0" w:line="239" w:lineRule="auto"/>
        <w:tabs>
          <w:tab w:leader="none" w:pos="7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39" w:lineRule="exact"/>
        <w:rPr>
          <w:rFonts w:ascii="Arial" w:cs="Arial" w:eastAsia="Arial" w:hAnsi="Arial"/>
          <w:sz w:val="12"/>
          <w:szCs w:val="12"/>
          <w:color w:val="auto"/>
        </w:rPr>
      </w:pPr>
    </w:p>
    <w:p>
      <w:pPr>
        <w:ind w:left="720" w:right="320" w:hanging="368"/>
        <w:spacing w:after="0" w:line="239" w:lineRule="auto"/>
        <w:tabs>
          <w:tab w:leader="none" w:pos="7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30" w:lineRule="exact"/>
        <w:rPr>
          <w:rFonts w:ascii="Arial" w:cs="Arial" w:eastAsia="Arial" w:hAnsi="Arial"/>
          <w:sz w:val="12"/>
          <w:szCs w:val="12"/>
          <w:color w:val="auto"/>
        </w:rPr>
      </w:pPr>
    </w:p>
    <w:p>
      <w:pPr>
        <w:ind w:left="720" w:right="20" w:hanging="368"/>
        <w:spacing w:after="0" w:line="236" w:lineRule="auto"/>
        <w:tabs>
          <w:tab w:leader="none" w:pos="7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1"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Account Tax Compliance Act</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or gross proceeds from the sale or other disposition of, our Class A common stock paid to a foreign financial institution unless the foreign financial institution enters into an agreement with the U.S. Treasury to, among other things, (i) undertake to identify accounts held by certain U.S. persons (including certain equity and debt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63" w:name="page164"/>
    <w:bookmarkEnd w:id="16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1"/>
          <w:szCs w:val="11"/>
          <w:color w:val="auto"/>
        </w:rPr>
        <w:t>holders of such institution) or by U.S.-owned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the same types of payments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These withholding taxes will be imposed on dividends paid on our Class A common stock and, after December 31, 2018, on gross proceeds from sales or other dispositions of our Class A common stock. Withholding under FATCA generally will not be reduced or limited by bilateral income tax treaties. However, intergovernmental agreements between the U.S.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Class A common stock and the entities through which they hold our Class A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Federal Estate Tax</w:t>
      </w:r>
    </w:p>
    <w:p>
      <w:pPr>
        <w:spacing w:after="0" w:line="155" w:lineRule="exact"/>
        <w:rPr>
          <w:sz w:val="20"/>
          <w:szCs w:val="20"/>
          <w:color w:val="auto"/>
        </w:rPr>
      </w:pPr>
    </w:p>
    <w:p>
      <w:pPr>
        <w:jc w:val="both"/>
        <w:ind w:right="40" w:firstLine="326"/>
        <w:spacing w:after="0" w:line="237" w:lineRule="auto"/>
        <w:rPr>
          <w:sz w:val="20"/>
          <w:szCs w:val="20"/>
          <w:color w:val="auto"/>
        </w:rPr>
      </w:pPr>
      <w:r>
        <w:rPr>
          <w:rFonts w:ascii="Arial" w:cs="Arial" w:eastAsia="Arial" w:hAnsi="Arial"/>
          <w:sz w:val="12"/>
          <w:szCs w:val="12"/>
          <w:color w:val="auto"/>
        </w:rPr>
        <w:t>Class A common stock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41" w:lineRule="exact"/>
        <w:rPr>
          <w:sz w:val="20"/>
          <w:szCs w:val="20"/>
          <w:color w:val="auto"/>
        </w:rPr>
      </w:pPr>
    </w:p>
    <w:p>
      <w:pPr>
        <w:jc w:val="both"/>
        <w:ind w:right="40" w:firstLine="323"/>
        <w:spacing w:after="0" w:line="239" w:lineRule="auto"/>
        <w:rPr>
          <w:sz w:val="20"/>
          <w:szCs w:val="20"/>
          <w:color w:val="auto"/>
        </w:rPr>
      </w:pPr>
      <w:r>
        <w:rPr>
          <w:rFonts w:ascii="Arial" w:cs="Arial" w:eastAsia="Arial" w:hAnsi="Arial"/>
          <w:sz w:val="12"/>
          <w:szCs w:val="12"/>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Class A common stock, including the consequences of any proposed change in applicable laws.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64" w:name="page165"/>
    <w:bookmarkEnd w:id="16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UNDERWRITING (CONFLICTS OF INTEREST)</w:t>
      </w:r>
    </w:p>
    <w:p>
      <w:pPr>
        <w:spacing w:after="0" w:line="155" w:lineRule="exact"/>
        <w:rPr>
          <w:sz w:val="20"/>
          <w:szCs w:val="20"/>
          <w:color w:val="auto"/>
        </w:rPr>
      </w:pPr>
    </w:p>
    <w:p>
      <w:pPr>
        <w:ind w:right="180" w:firstLine="326"/>
        <w:spacing w:after="0" w:line="239" w:lineRule="auto"/>
        <w:rPr>
          <w:sz w:val="20"/>
          <w:szCs w:val="20"/>
          <w:color w:val="auto"/>
        </w:rPr>
      </w:pPr>
      <w:r>
        <w:rPr>
          <w:rFonts w:ascii="Arial" w:cs="Arial" w:eastAsia="Arial" w:hAnsi="Arial"/>
          <w:sz w:val="12"/>
          <w:szCs w:val="12"/>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Allen &amp; Company LLC are the representatives of the underwriters.</w:t>
      </w:r>
    </w:p>
    <w:p>
      <w:pPr>
        <w:spacing w:after="0" w:line="134"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Underwriters</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Number of Shares</w:t>
            </w:r>
          </w:p>
        </w:tc>
        <w:tc>
          <w:tcPr>
            <w:tcW w:w="120" w:type="dxa"/>
            <w:vAlign w:val="bottom"/>
          </w:tcPr>
          <w:p>
            <w:pPr>
              <w:spacing w:after="0"/>
              <w:rPr>
                <w:sz w:val="12"/>
                <w:szCs w:val="12"/>
                <w:color w:val="auto"/>
              </w:rPr>
            </w:pPr>
          </w:p>
        </w:tc>
      </w:tr>
      <w:tr>
        <w:trPr>
          <w:trHeight w:val="133"/>
        </w:trPr>
        <w:tc>
          <w:tcPr>
            <w:tcW w:w="67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Goldman Sachs &amp; Co. LLC</w:t>
            </w:r>
          </w:p>
        </w:tc>
        <w:tc>
          <w:tcPr>
            <w:tcW w:w="1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4,389,800</w:t>
            </w:r>
          </w:p>
        </w:tc>
        <w:tc>
          <w:tcPr>
            <w:tcW w:w="120" w:type="dxa"/>
            <w:vAlign w:val="bottom"/>
            <w:shd w:val="clear" w:color="auto" w:fill="CCEEFF"/>
          </w:tcPr>
          <w:p>
            <w:pPr>
              <w:spacing w:after="0"/>
              <w:rPr>
                <w:sz w:val="11"/>
                <w:szCs w:val="11"/>
                <w:color w:val="auto"/>
              </w:rPr>
            </w:pPr>
          </w:p>
        </w:tc>
      </w:tr>
      <w:tr>
        <w:trPr>
          <w:trHeight w:val="135"/>
        </w:trPr>
        <w:tc>
          <w:tcPr>
            <w:tcW w:w="6780" w:type="dxa"/>
            <w:vAlign w:val="bottom"/>
          </w:tcPr>
          <w:p>
            <w:pPr>
              <w:spacing w:after="0" w:line="135" w:lineRule="exact"/>
              <w:rPr>
                <w:sz w:val="20"/>
                <w:szCs w:val="20"/>
                <w:color w:val="auto"/>
              </w:rPr>
            </w:pPr>
            <w:r>
              <w:rPr>
                <w:rFonts w:ascii="Arial" w:cs="Arial" w:eastAsia="Arial" w:hAnsi="Arial"/>
                <w:sz w:val="12"/>
                <w:szCs w:val="12"/>
                <w:color w:val="auto"/>
              </w:rPr>
              <w:t>Allen &amp; Company LLC</w:t>
            </w:r>
          </w:p>
        </w:tc>
        <w:tc>
          <w:tcPr>
            <w:tcW w:w="1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2,190,200</w:t>
            </w:r>
          </w:p>
        </w:tc>
        <w:tc>
          <w:tcPr>
            <w:tcW w:w="120" w:type="dxa"/>
            <w:vAlign w:val="bottom"/>
          </w:tcPr>
          <w:p>
            <w:pPr>
              <w:spacing w:after="0"/>
              <w:rPr>
                <w:sz w:val="11"/>
                <w:szCs w:val="11"/>
                <w:color w:val="auto"/>
              </w:rPr>
            </w:pPr>
          </w:p>
        </w:tc>
      </w:tr>
      <w:tr>
        <w:trPr>
          <w:trHeight w:val="135"/>
        </w:trPr>
        <w:tc>
          <w:tcPr>
            <w:tcW w:w="6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RBC Capital Markets, LLC</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1,410,000</w:t>
            </w:r>
          </w:p>
        </w:tc>
        <w:tc>
          <w:tcPr>
            <w:tcW w:w="120" w:type="dxa"/>
            <w:vAlign w:val="bottom"/>
            <w:shd w:val="clear" w:color="auto" w:fill="CCEEFF"/>
          </w:tcPr>
          <w:p>
            <w:pPr>
              <w:spacing w:after="0"/>
              <w:rPr>
                <w:sz w:val="11"/>
                <w:szCs w:val="11"/>
                <w:color w:val="auto"/>
              </w:rPr>
            </w:pPr>
          </w:p>
        </w:tc>
      </w:tr>
      <w:tr>
        <w:trPr>
          <w:trHeight w:val="135"/>
        </w:trPr>
        <w:tc>
          <w:tcPr>
            <w:tcW w:w="6780" w:type="dxa"/>
            <w:vAlign w:val="bottom"/>
          </w:tcPr>
          <w:p>
            <w:pPr>
              <w:spacing w:after="0" w:line="135" w:lineRule="exact"/>
              <w:rPr>
                <w:sz w:val="20"/>
                <w:szCs w:val="20"/>
                <w:color w:val="auto"/>
              </w:rPr>
            </w:pPr>
            <w:r>
              <w:rPr>
                <w:rFonts w:ascii="Arial" w:cs="Arial" w:eastAsia="Arial" w:hAnsi="Arial"/>
                <w:sz w:val="12"/>
                <w:szCs w:val="12"/>
                <w:color w:val="auto"/>
              </w:rPr>
              <w:t>JMP Securities LLC</w:t>
            </w:r>
          </w:p>
        </w:tc>
        <w:tc>
          <w:tcPr>
            <w:tcW w:w="1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470,000</w:t>
            </w:r>
          </w:p>
        </w:tc>
        <w:tc>
          <w:tcPr>
            <w:tcW w:w="120" w:type="dxa"/>
            <w:vAlign w:val="bottom"/>
          </w:tcPr>
          <w:p>
            <w:pPr>
              <w:spacing w:after="0"/>
              <w:rPr>
                <w:sz w:val="11"/>
                <w:szCs w:val="11"/>
                <w:color w:val="auto"/>
              </w:rPr>
            </w:pPr>
          </w:p>
        </w:tc>
      </w:tr>
      <w:tr>
        <w:trPr>
          <w:trHeight w:val="135"/>
        </w:trPr>
        <w:tc>
          <w:tcPr>
            <w:tcW w:w="67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Raymond James &amp; Associates, Inc.</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470,000</w:t>
            </w:r>
          </w:p>
        </w:tc>
        <w:tc>
          <w:tcPr>
            <w:tcW w:w="120" w:type="dxa"/>
            <w:vAlign w:val="bottom"/>
            <w:shd w:val="clear" w:color="auto" w:fill="CCEEFF"/>
          </w:tcPr>
          <w:p>
            <w:pPr>
              <w:spacing w:after="0"/>
              <w:rPr>
                <w:sz w:val="11"/>
                <w:szCs w:val="11"/>
                <w:color w:val="auto"/>
              </w:rPr>
            </w:pPr>
          </w:p>
        </w:tc>
      </w:tr>
      <w:tr>
        <w:trPr>
          <w:trHeight w:val="135"/>
        </w:trPr>
        <w:tc>
          <w:tcPr>
            <w:tcW w:w="6780" w:type="dxa"/>
            <w:vAlign w:val="bottom"/>
          </w:tcPr>
          <w:p>
            <w:pPr>
              <w:spacing w:after="0" w:line="135" w:lineRule="exact"/>
              <w:rPr>
                <w:sz w:val="20"/>
                <w:szCs w:val="20"/>
                <w:color w:val="auto"/>
              </w:rPr>
            </w:pPr>
            <w:r>
              <w:rPr>
                <w:rFonts w:ascii="Arial" w:cs="Arial" w:eastAsia="Arial" w:hAnsi="Arial"/>
                <w:sz w:val="12"/>
                <w:szCs w:val="12"/>
                <w:color w:val="auto"/>
              </w:rPr>
              <w:t>William Blair &amp; Company, L.L.C.</w:t>
            </w:r>
          </w:p>
        </w:tc>
        <w:tc>
          <w:tcPr>
            <w:tcW w:w="120" w:type="dxa"/>
            <w:vAlign w:val="bottom"/>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470,000</w:t>
            </w:r>
          </w:p>
        </w:tc>
        <w:tc>
          <w:tcPr>
            <w:tcW w:w="120" w:type="dxa"/>
            <w:vAlign w:val="bottom"/>
          </w:tcPr>
          <w:p>
            <w:pPr>
              <w:spacing w:after="0"/>
              <w:rPr>
                <w:sz w:val="11"/>
                <w:szCs w:val="11"/>
                <w:color w:val="auto"/>
              </w:rPr>
            </w:pPr>
          </w:p>
        </w:tc>
      </w:tr>
      <w:tr>
        <w:trPr>
          <w:trHeight w:val="131"/>
        </w:trPr>
        <w:tc>
          <w:tcPr>
            <w:tcW w:w="67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9,400,000</w:t>
            </w:r>
          </w:p>
        </w:tc>
        <w:tc>
          <w:tcPr>
            <w:tcW w:w="120" w:type="dxa"/>
            <w:vAlign w:val="bottom"/>
            <w:shd w:val="clear" w:color="auto" w:fill="CCEEFF"/>
          </w:tcPr>
          <w:p>
            <w:pPr>
              <w:spacing w:after="0"/>
              <w:rPr>
                <w:sz w:val="11"/>
                <w:szCs w:val="11"/>
                <w:color w:val="auto"/>
              </w:rPr>
            </w:pP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underwriters are committed to take and pay for all of the shares being offered, if any are taken, other than the shares covered by the option described below unless and until this option is exercised.</w:t>
      </w:r>
    </w:p>
    <w:p>
      <w:pPr>
        <w:spacing w:after="0" w:line="141"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underwriters have an option to buy up to an additional 1,410,000 shares of Class A common stock from us and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1" w:lineRule="exact"/>
        <w:rPr>
          <w:sz w:val="20"/>
          <w:szCs w:val="20"/>
          <w:color w:val="auto"/>
        </w:rPr>
      </w:pPr>
    </w:p>
    <w:p>
      <w:pPr>
        <w:ind w:right="60" w:firstLine="323"/>
        <w:spacing w:after="0" w:line="239" w:lineRule="auto"/>
        <w:rPr>
          <w:sz w:val="20"/>
          <w:szCs w:val="20"/>
          <w:color w:val="auto"/>
        </w:rPr>
      </w:pPr>
      <w:r>
        <w:rPr>
          <w:rFonts w:ascii="Arial" w:cs="Arial" w:eastAsia="Arial" w:hAnsi="Arial"/>
          <w:sz w:val="12"/>
          <w:szCs w:val="12"/>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1,410,000 additional shares.</w:t>
      </w:r>
    </w:p>
    <w:p>
      <w:pPr>
        <w:spacing w:after="0" w:line="261"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1800" w:type="dxa"/>
            <w:vAlign w:val="bottom"/>
          </w:tcPr>
          <w:p>
            <w:pPr>
              <w:spacing w:after="0"/>
              <w:rPr>
                <w:sz w:val="13"/>
                <w:szCs w:val="13"/>
                <w:color w:val="auto"/>
              </w:rPr>
            </w:pPr>
          </w:p>
        </w:tc>
        <w:tc>
          <w:tcPr>
            <w:tcW w:w="3680" w:type="dxa"/>
            <w:vAlign w:val="bottom"/>
            <w:gridSpan w:val="2"/>
          </w:tcPr>
          <w:p>
            <w:pPr>
              <w:jc w:val="right"/>
              <w:ind w:right="880"/>
              <w:spacing w:after="0"/>
              <w:rPr>
                <w:sz w:val="20"/>
                <w:szCs w:val="20"/>
                <w:color w:val="auto"/>
              </w:rPr>
            </w:pPr>
            <w:r>
              <w:rPr>
                <w:rFonts w:ascii="Arial" w:cs="Arial" w:eastAsia="Arial" w:hAnsi="Arial"/>
                <w:sz w:val="12"/>
                <w:szCs w:val="12"/>
                <w:b w:val="1"/>
                <w:bCs w:val="1"/>
                <w:color w:val="auto"/>
              </w:rPr>
              <w:t>Paid by the Company</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1"/>
        </w:trPr>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No Exercise</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Full Exercise</w:t>
            </w:r>
          </w:p>
        </w:tc>
        <w:tc>
          <w:tcPr>
            <w:tcW w:w="120" w:type="dxa"/>
            <w:vAlign w:val="bottom"/>
          </w:tcPr>
          <w:p>
            <w:pPr>
              <w:spacing w:after="0"/>
              <w:rPr>
                <w:sz w:val="24"/>
                <w:szCs w:val="24"/>
                <w:color w:val="auto"/>
              </w:rPr>
            </w:pPr>
          </w:p>
        </w:tc>
      </w:tr>
      <w:tr>
        <w:trPr>
          <w:trHeight w:val="133"/>
        </w:trPr>
        <w:tc>
          <w:tcPr>
            <w:tcW w:w="1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Per Share</w:t>
            </w:r>
          </w:p>
        </w:tc>
        <w:tc>
          <w:tcPr>
            <w:tcW w:w="368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1.12</w:t>
            </w:r>
          </w:p>
        </w:tc>
        <w:tc>
          <w:tcPr>
            <w:tcW w:w="48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1"/>
                <w:szCs w:val="11"/>
                <w:color w:val="auto"/>
              </w:rPr>
            </w:pPr>
          </w:p>
        </w:tc>
      </w:tr>
      <w:tr>
        <w:trPr>
          <w:trHeight w:val="142"/>
        </w:trPr>
        <w:tc>
          <w:tcPr>
            <w:tcW w:w="1800" w:type="dxa"/>
            <w:vAlign w:val="bottom"/>
          </w:tcPr>
          <w:p>
            <w:pPr>
              <w:spacing w:after="0"/>
              <w:rPr>
                <w:sz w:val="20"/>
                <w:szCs w:val="20"/>
                <w:color w:val="auto"/>
              </w:rPr>
            </w:pPr>
            <w:r>
              <w:rPr>
                <w:rFonts w:ascii="Arial" w:cs="Arial" w:eastAsia="Arial" w:hAnsi="Arial"/>
                <w:sz w:val="12"/>
                <w:szCs w:val="12"/>
                <w:color w:val="auto"/>
              </w:rPr>
              <w:t>Total</w:t>
            </w:r>
          </w:p>
        </w:tc>
        <w:tc>
          <w:tcPr>
            <w:tcW w:w="36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2,800,000</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3,589,600</w:t>
            </w:r>
          </w:p>
        </w:tc>
        <w:tc>
          <w:tcPr>
            <w:tcW w:w="120" w:type="dxa"/>
            <w:vAlign w:val="bottom"/>
          </w:tcPr>
          <w:p>
            <w:pPr>
              <w:spacing w:after="0"/>
              <w:rPr>
                <w:sz w:val="12"/>
                <w:szCs w:val="12"/>
                <w:color w:val="auto"/>
              </w:rPr>
            </w:pPr>
          </w:p>
        </w:tc>
      </w:tr>
      <w:tr>
        <w:trPr>
          <w:trHeight w:val="414"/>
        </w:trPr>
        <w:tc>
          <w:tcPr>
            <w:tcW w:w="1800" w:type="dxa"/>
            <w:vAlign w:val="bottom"/>
          </w:tcPr>
          <w:p>
            <w:pPr>
              <w:spacing w:after="0"/>
              <w:rPr>
                <w:sz w:val="24"/>
                <w:szCs w:val="24"/>
                <w:color w:val="auto"/>
              </w:rPr>
            </w:pPr>
          </w:p>
        </w:tc>
        <w:tc>
          <w:tcPr>
            <w:tcW w:w="36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Paid by the Selling Stockholders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No Exercise</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Full Exercise</w:t>
            </w:r>
          </w:p>
        </w:tc>
        <w:tc>
          <w:tcPr>
            <w:tcW w:w="120" w:type="dxa"/>
            <w:vAlign w:val="bottom"/>
          </w:tcPr>
          <w:p>
            <w:pPr>
              <w:spacing w:after="0"/>
              <w:rPr>
                <w:sz w:val="24"/>
                <w:szCs w:val="24"/>
                <w:color w:val="auto"/>
              </w:rPr>
            </w:pPr>
          </w:p>
        </w:tc>
      </w:tr>
      <w:tr>
        <w:trPr>
          <w:trHeight w:val="133"/>
        </w:trPr>
        <w:tc>
          <w:tcPr>
            <w:tcW w:w="1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Per Share</w:t>
            </w:r>
          </w:p>
        </w:tc>
        <w:tc>
          <w:tcPr>
            <w:tcW w:w="368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1.12</w:t>
            </w:r>
          </w:p>
        </w:tc>
        <w:tc>
          <w:tcPr>
            <w:tcW w:w="48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1"/>
                <w:szCs w:val="11"/>
                <w:color w:val="auto"/>
              </w:rPr>
            </w:pPr>
          </w:p>
        </w:tc>
      </w:tr>
      <w:tr>
        <w:trPr>
          <w:trHeight w:val="142"/>
        </w:trPr>
        <w:tc>
          <w:tcPr>
            <w:tcW w:w="1800" w:type="dxa"/>
            <w:vAlign w:val="bottom"/>
          </w:tcPr>
          <w:p>
            <w:pPr>
              <w:spacing w:after="0"/>
              <w:rPr>
                <w:sz w:val="20"/>
                <w:szCs w:val="20"/>
                <w:color w:val="auto"/>
              </w:rPr>
            </w:pPr>
            <w:r>
              <w:rPr>
                <w:rFonts w:ascii="Arial" w:cs="Arial" w:eastAsia="Arial" w:hAnsi="Arial"/>
                <w:sz w:val="12"/>
                <w:szCs w:val="12"/>
                <w:color w:val="auto"/>
              </w:rPr>
              <w:t>Total</w:t>
            </w:r>
          </w:p>
        </w:tc>
        <w:tc>
          <w:tcPr>
            <w:tcW w:w="36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7,728,000</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8,517,600</w:t>
            </w:r>
          </w:p>
        </w:tc>
        <w:tc>
          <w:tcPr>
            <w:tcW w:w="120" w:type="dxa"/>
            <w:vAlign w:val="bottom"/>
          </w:tcPr>
          <w:p>
            <w:pPr>
              <w:spacing w:after="0"/>
              <w:rPr>
                <w:sz w:val="12"/>
                <w:szCs w:val="12"/>
                <w:color w:val="auto"/>
              </w:rPr>
            </w:pPr>
          </w:p>
        </w:tc>
      </w:tr>
    </w:tbl>
    <w:p>
      <w:pPr>
        <w:spacing w:after="0" w:line="139"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Shares sold by the underwriters to the public will initially be offered at the initial public offering price set forth on the cover of this prospectus. Any shares sold by the underwriters to securities dealers may be sold at a discount of up to $0.576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our officers, directors, and holders of substantially all of our common stock, including the selling stockholders, have agreed with the underwriters, subject to certain exceptions, not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65" w:name="page166"/>
    <w:bookmarkEnd w:id="16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jc w:val="both"/>
        <w:ind w:right="160"/>
        <w:spacing w:after="0" w:line="237" w:lineRule="auto"/>
        <w:rPr>
          <w:sz w:val="20"/>
          <w:szCs w:val="20"/>
          <w:color w:val="auto"/>
        </w:rPr>
      </w:pPr>
      <w:r>
        <w:rPr>
          <w:rFonts w:ascii="Arial" w:cs="Arial" w:eastAsia="Arial" w:hAnsi="Arial"/>
          <w:sz w:val="12"/>
          <w:szCs w:val="12"/>
          <w:color w:val="auto"/>
        </w:rPr>
        <w:t>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This agreement does not apply to any existing employee benefit plans. See "Shares Eligible for Future Sale" for a discussion of certain transfer restrictions.</w:t>
      </w:r>
    </w:p>
    <w:p>
      <w:pPr>
        <w:spacing w:after="0" w:line="141"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Prior to this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41" w:lineRule="exact"/>
        <w:rPr>
          <w:sz w:val="20"/>
          <w:szCs w:val="20"/>
          <w:color w:val="auto"/>
        </w:rPr>
      </w:pPr>
    </w:p>
    <w:p>
      <w:pPr>
        <w:ind w:right="380" w:firstLine="326"/>
        <w:spacing w:after="0" w:line="239" w:lineRule="auto"/>
        <w:rPr>
          <w:sz w:val="20"/>
          <w:szCs w:val="20"/>
          <w:color w:val="auto"/>
        </w:rPr>
      </w:pPr>
      <w:r>
        <w:rPr>
          <w:rFonts w:ascii="Arial" w:cs="Arial" w:eastAsia="Arial" w:hAnsi="Arial"/>
          <w:sz w:val="12"/>
          <w:szCs w:val="12"/>
          <w:color w:val="auto"/>
        </w:rPr>
        <w:t>Our Class A common stock has been approved for listing on the NASDAQ Global Select Market under the symbol "CARG." In order to meet one of the requirements for listing our Class A common stock on the NASDAQ Global Select Market, the underwriters have undertaken to sell lots of 100 or more shares to a minimum of 400 beneficial holders.</w:t>
      </w:r>
    </w:p>
    <w:p>
      <w:pPr>
        <w:spacing w:after="0" w:line="139" w:lineRule="exact"/>
        <w:rPr>
          <w:sz w:val="20"/>
          <w:szCs w:val="20"/>
          <w:color w:val="auto"/>
        </w:rPr>
      </w:pPr>
    </w:p>
    <w:p>
      <w:pPr>
        <w:ind w:right="100" w:firstLine="326"/>
        <w:spacing w:after="0" w:line="235" w:lineRule="auto"/>
        <w:rPr>
          <w:sz w:val="20"/>
          <w:szCs w:val="20"/>
          <w:color w:val="auto"/>
        </w:rPr>
      </w:pPr>
      <w:r>
        <w:rPr>
          <w:rFonts w:ascii="Arial" w:cs="Arial" w:eastAsia="Arial" w:hAnsi="Arial"/>
          <w:sz w:val="12"/>
          <w:szCs w:val="12"/>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closing of the offering.</w:t>
      </w:r>
    </w:p>
    <w:p>
      <w:pPr>
        <w:spacing w:after="0" w:line="144" w:lineRule="exact"/>
        <w:rPr>
          <w:sz w:val="20"/>
          <w:szCs w:val="20"/>
          <w:color w:val="auto"/>
        </w:rPr>
      </w:pPr>
    </w:p>
    <w:p>
      <w:pPr>
        <w:ind w:right="620" w:firstLine="323"/>
        <w:spacing w:after="0" w:line="239" w:lineRule="auto"/>
        <w:rPr>
          <w:sz w:val="20"/>
          <w:szCs w:val="20"/>
          <w:color w:val="auto"/>
        </w:rPr>
      </w:pPr>
      <w:r>
        <w:rPr>
          <w:rFonts w:ascii="Arial" w:cs="Arial" w:eastAsia="Arial" w:hAnsi="Arial"/>
          <w:sz w:val="12"/>
          <w:szCs w:val="12"/>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and the selling stockholders estimate that our share of the total expenses of the offering, excluding underwriting discounts and commissions, will be approximately $4,100,000, which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66" w:name="page167"/>
    <w:bookmarkEnd w:id="16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includes up to $30,000 that we agreed to reimburse the underwriters for certain FINRA-related expenses incurred by them in connection with the offering.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and the selling stockholders have agreed to indemnify the several underwriters against certain liabilities, including liabilities under the Securities Act of 1933, as amended, or the Securities Act.</w:t>
      </w:r>
    </w:p>
    <w:p>
      <w:pPr>
        <w:spacing w:after="0" w:line="141" w:lineRule="exact"/>
        <w:rPr>
          <w:sz w:val="20"/>
          <w:szCs w:val="20"/>
          <w:color w:val="auto"/>
        </w:rPr>
      </w:pPr>
    </w:p>
    <w:p>
      <w:pPr>
        <w:ind w:right="280" w:firstLine="323"/>
        <w:spacing w:after="0" w:line="26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4"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European Economic Area</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relation to each Member State of the European Economic Area which has implemented the Prospectus Directive, or a Relative Member State, an offer to the public of our common shares may not be made in that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Relevant Member State, except that an offer to the public in that Relevant Member State of our common shares may be made at any time under the following exemptions under the Prospectus Directive:</w:t>
      </w:r>
    </w:p>
    <w:p>
      <w:pPr>
        <w:spacing w:after="0" w:line="141" w:lineRule="exact"/>
        <w:rPr>
          <w:sz w:val="20"/>
          <w:szCs w:val="20"/>
          <w:color w:val="auto"/>
        </w:rPr>
      </w:pPr>
    </w:p>
    <w:p>
      <w:pPr>
        <w:ind w:left="720" w:hanging="368"/>
        <w:spacing w:after="0"/>
        <w:tabs>
          <w:tab w:leader="none" w:pos="7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in the Prospectus Directive;</w:t>
      </w:r>
    </w:p>
    <w:p>
      <w:pPr>
        <w:spacing w:after="0" w:line="141" w:lineRule="exact"/>
        <w:rPr>
          <w:rFonts w:ascii="Arial" w:cs="Arial" w:eastAsia="Arial" w:hAnsi="Arial"/>
          <w:sz w:val="12"/>
          <w:szCs w:val="12"/>
          <w:color w:val="auto"/>
        </w:rPr>
      </w:pPr>
    </w:p>
    <w:p>
      <w:pPr>
        <w:ind w:left="720" w:hanging="368"/>
        <w:spacing w:after="0"/>
        <w:tabs>
          <w:tab w:leader="none" w:pos="7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in the Prospectus Directive), subject to obtaining the prior consent of the Representatives for any such offer; or</w:t>
      </w:r>
    </w:p>
    <w:p>
      <w:pPr>
        <w:spacing w:after="0" w:line="132" w:lineRule="exact"/>
        <w:rPr>
          <w:rFonts w:ascii="Arial" w:cs="Arial" w:eastAsia="Arial" w:hAnsi="Arial"/>
          <w:sz w:val="12"/>
          <w:szCs w:val="12"/>
          <w:color w:val="auto"/>
        </w:rPr>
      </w:pPr>
    </w:p>
    <w:p>
      <w:pPr>
        <w:ind w:left="720" w:hanging="368"/>
        <w:spacing w:after="0"/>
        <w:tabs>
          <w:tab w:leader="none" w:pos="7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3(2) of the Prospectus Directive;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provided that no such offer or shares of our Class A common stock shall result in a requirement for the publication by us of a prospectus pursuant to Article 3 of the Prospectus Directive.</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67" w:name="page168"/>
    <w:bookmarkEnd w:id="16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European Economic Area selling restriction is in addition to any other selling restrictions set out below.</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United Kingdom</w:t>
      </w:r>
    </w:p>
    <w:p>
      <w:pPr>
        <w:spacing w:after="0" w:line="153"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Canada</w:t>
      </w:r>
    </w:p>
    <w:p>
      <w:pPr>
        <w:spacing w:after="0" w:line="153" w:lineRule="exact"/>
        <w:rPr>
          <w:sz w:val="20"/>
          <w:szCs w:val="20"/>
          <w:color w:val="auto"/>
        </w:rPr>
      </w:pPr>
    </w:p>
    <w:p>
      <w:pPr>
        <w:ind w:right="360" w:firstLine="323"/>
        <w:spacing w:after="0" w:line="237" w:lineRule="auto"/>
        <w:rPr>
          <w:sz w:val="20"/>
          <w:szCs w:val="20"/>
          <w:color w:val="auto"/>
        </w:rPr>
      </w:pPr>
      <w:r>
        <w:rPr>
          <w:rFonts w:ascii="Arial" w:cs="Arial" w:eastAsia="Arial" w:hAnsi="Arial"/>
          <w:sz w:val="12"/>
          <w:szCs w:val="12"/>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41" w:lineRule="exact"/>
        <w:rPr>
          <w:sz w:val="20"/>
          <w:szCs w:val="20"/>
          <w:color w:val="auto"/>
        </w:rPr>
      </w:pPr>
    </w:p>
    <w:p>
      <w:pPr>
        <w:ind w:right="240" w:firstLine="326"/>
        <w:spacing w:after="0" w:line="237"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1" w:lineRule="exact"/>
        <w:rPr>
          <w:sz w:val="20"/>
          <w:szCs w:val="20"/>
          <w:color w:val="auto"/>
        </w:rPr>
      </w:pPr>
    </w:p>
    <w:p>
      <w:pPr>
        <w:ind w:right="100" w:firstLine="326"/>
        <w:spacing w:after="0" w:line="239" w:lineRule="auto"/>
        <w:rPr>
          <w:sz w:val="20"/>
          <w:szCs w:val="20"/>
          <w:color w:val="auto"/>
        </w:rPr>
      </w:pPr>
      <w:r>
        <w:rPr>
          <w:rFonts w:ascii="Arial" w:cs="Arial" w:eastAsia="Arial" w:hAnsi="Arial"/>
          <w:sz w:val="12"/>
          <w:szCs w:val="12"/>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Hong Kong</w:t>
      </w:r>
    </w:p>
    <w:p>
      <w:pPr>
        <w:spacing w:after="0" w:line="153"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68" w:name="page169"/>
    <w:bookmarkEnd w:id="16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"professional investors" in Hong Kong as defined in the Securities and Futures Ordinance and any rules made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Singapore</w:t>
      </w:r>
    </w:p>
    <w:p>
      <w:pPr>
        <w:spacing w:after="0" w:line="153"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ind w:right="40" w:firstLine="326"/>
        <w:spacing w:after="0" w:line="236" w:lineRule="auto"/>
        <w:rPr>
          <w:sz w:val="20"/>
          <w:szCs w:val="20"/>
          <w:color w:val="auto"/>
        </w:rPr>
      </w:pPr>
      <w:r>
        <w:rPr>
          <w:rFonts w:ascii="Arial" w:cs="Arial" w:eastAsia="Arial" w:hAnsi="Arial"/>
          <w:sz w:val="12"/>
          <w:szCs w:val="12"/>
          <w:color w:val="auto"/>
        </w:rPr>
        <w:t>Where the shares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41"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Where the shares are subscribed or purchased under Section 275 of the SFA by a relevant person that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Japan</w:t>
      </w:r>
    </w:p>
    <w:p>
      <w:pPr>
        <w:spacing w:after="0" w:line="153"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69" w:name="page170"/>
    <w:bookmarkEnd w:id="16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Conflicts of Interest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Allen &amp; Company LLC, an underwriter in this offering, and its associated persons, including Ian Smith, a member of our board of directors, beneficially own 71,685 shares of our outstanding Series A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1,128,994 shares of our outstanding Series B preferred stock, and 163,331 shares of our outstanding Series C preferred stock, collectively representing 13.5% of our outstanding preferred stock, which shares of preferred</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stock will automatically convert into 8,184,061 shares of Class A common stock at the closing of the offering. Because Allen &amp; Company LLC is an underwriter in this offering and because Allen &amp; Company LLC and its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associated persons beneficially own more than 10% of our outstanding preferred stock, Allen &amp; Company LLC is deemed to have a "conflict of interest" under Rule 5121 of the Financial Industry Regulatory Authority, Inc.,</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or FINRA. Accordingly, this offering will be conducted in accordance with the applicable provisions of Rule 5121, which requires, among other things, that a "qualified independent underwriter" as defined by Rule 5121 has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participated in the preparation of, and has exercised the usual standards of "due diligence" with respect to the registration statement and this prospectus. Goldman Sachs &amp; Co. LLC has agreed to act as qualified</w:t>
      </w:r>
    </w:p>
    <w:p>
      <w:pPr>
        <w:spacing w:after="0"/>
        <w:rPr>
          <w:sz w:val="20"/>
          <w:szCs w:val="20"/>
          <w:color w:val="auto"/>
        </w:rPr>
      </w:pPr>
      <w:r>
        <w:rPr>
          <w:rFonts w:ascii="Arial" w:cs="Arial" w:eastAsia="Arial" w:hAnsi="Arial"/>
          <w:sz w:val="11"/>
          <w:szCs w:val="11"/>
          <w:color w:val="auto"/>
        </w:rPr>
        <w:t>independent underwriter for this offering and to undertake the legal responsibilities and liabilities of an underwriter under the Securities Act, specifically including those inherent in Section 11 of the Securities Act. Goldman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Sachs &amp; Co. LLC will not receive any additional fees for serving as qualified independent underwriter in connection with this offering. We have agreed, subject to certain terms and conditions, to indemnify Goldman</w:t>
      </w:r>
    </w:p>
    <w:p>
      <w:pPr>
        <w:spacing w:after="0"/>
        <w:rPr>
          <w:sz w:val="20"/>
          <w:szCs w:val="20"/>
          <w:color w:val="auto"/>
        </w:rPr>
      </w:pPr>
      <w:r>
        <w:rPr>
          <w:rFonts w:ascii="Arial" w:cs="Arial" w:eastAsia="Arial" w:hAnsi="Arial"/>
          <w:sz w:val="11"/>
          <w:szCs w:val="11"/>
          <w:color w:val="auto"/>
        </w:rPr>
        <w:t>Sachs &amp; Co. LLC against certain liabilities incurred in connection with acting as a qualified independent underwriter in this offering, including liabilities under the Securities Act. Pursuant to Rule 5121, Allen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will not confirm any sales to any account over which it exercises discretionary authority without the specific written approval of the account 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70" w:name="page171"/>
    <w:bookmarkEnd w:id="17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LEGAL MATTERS</w:t>
      </w:r>
    </w:p>
    <w:p>
      <w:pPr>
        <w:spacing w:after="0" w:line="155"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validity of the shares of Class A common stock offered hereby will be passed upon for us by Morgan, Lewis &amp; Bockius LLP, Boston, Massachusetts. As of the date of this prospectus, taking into account the automatic conversion of all shares of our convertible preferred stock outstanding as of June 30, 2017 into 20,188,226 shares of our Class A common stock and 40,376,452 shares of our Class B common stock, which Class B common stock will subsequently convert into 40,376,452 shares of our Class A common stock, attorneys with Morgan, Lewis &amp; Bockius LLP beneficially own an aggregate of 358,776 shares of our Class A common stock. The underwriters are being represented by Wilmer Cutler Pickering Hale and Dorr LLP, Boston, Massachusetts, in connection with this offering.</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EXPERTS</w:t>
      </w:r>
    </w:p>
    <w:p>
      <w:pPr>
        <w:spacing w:after="0" w:line="155" w:lineRule="exact"/>
        <w:rPr>
          <w:sz w:val="20"/>
          <w:szCs w:val="20"/>
          <w:color w:val="auto"/>
        </w:rPr>
      </w:pPr>
    </w:p>
    <w:p>
      <w:pPr>
        <w:ind w:right="320" w:firstLine="323"/>
        <w:spacing w:after="0" w:line="237" w:lineRule="auto"/>
        <w:rPr>
          <w:sz w:val="20"/>
          <w:szCs w:val="20"/>
          <w:color w:val="auto"/>
        </w:rPr>
      </w:pPr>
      <w:r>
        <w:rPr>
          <w:rFonts w:ascii="Arial" w:cs="Arial" w:eastAsia="Arial" w:hAnsi="Arial"/>
          <w:sz w:val="12"/>
          <w:szCs w:val="12"/>
          <w:color w:val="auto"/>
        </w:rPr>
        <w:t>The consolidated financial statements of CarGurus, Inc. at December 31, 2015 and 2016,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5"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We have filed with the SEC a registration statement on Form S-1 under the Securities Act of 1933, as amended,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39" w:lineRule="exact"/>
        <w:rPr>
          <w:sz w:val="20"/>
          <w:szCs w:val="20"/>
          <w:color w:val="auto"/>
        </w:rPr>
      </w:pPr>
    </w:p>
    <w:p>
      <w:pPr>
        <w:ind w:right="40" w:firstLine="319"/>
        <w:spacing w:after="0" w:line="237" w:lineRule="auto"/>
        <w:rPr>
          <w:sz w:val="20"/>
          <w:szCs w:val="20"/>
          <w:color w:val="auto"/>
        </w:rPr>
      </w:pPr>
      <w:r>
        <w:rPr>
          <w:rFonts w:ascii="Arial" w:cs="Arial" w:eastAsia="Arial" w:hAnsi="Arial"/>
          <w:sz w:val="12"/>
          <w:szCs w:val="12"/>
          <w:color w:val="auto"/>
        </w:rPr>
        <w:t>As a result of this offering, we will become subject to the information and reporting requirements of the Securities Exchange Act of 1934, as amended,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www.cargurus.com. Upon closing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71" w:name="page172"/>
    <w:bookmarkEnd w:id="17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740" w:type="dxa"/>
            <w:vAlign w:val="bottom"/>
            <w:gridSpan w:val="2"/>
          </w:tcPr>
          <w:p>
            <w:pPr>
              <w:jc w:val="center"/>
              <w:ind w:right="3120"/>
              <w:spacing w:after="0"/>
              <w:rPr>
                <w:sz w:val="20"/>
                <w:szCs w:val="20"/>
                <w:color w:val="auto"/>
              </w:rPr>
            </w:pPr>
            <w:r>
              <w:rPr>
                <w:rFonts w:ascii="Arial" w:cs="Arial" w:eastAsia="Arial" w:hAnsi="Arial"/>
                <w:sz w:val="12"/>
                <w:szCs w:val="12"/>
                <w:b w:val="1"/>
                <w:bCs w:val="1"/>
                <w:color w:val="auto"/>
                <w:w w:val="97"/>
              </w:rPr>
              <w:t>CARGURUS, INC.</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4"/>
          </w:tcPr>
          <w:p>
            <w:pPr>
              <w:jc w:val="center"/>
              <w:ind w:right="2320"/>
              <w:spacing w:after="0"/>
              <w:rPr>
                <w:sz w:val="20"/>
                <w:szCs w:val="20"/>
                <w:color w:val="auto"/>
              </w:rPr>
            </w:pPr>
            <w:r>
              <w:rPr>
                <w:rFonts w:ascii="Arial" w:cs="Arial" w:eastAsia="Arial" w:hAnsi="Arial"/>
                <w:sz w:val="12"/>
                <w:szCs w:val="12"/>
                <w:b w:val="1"/>
                <w:bCs w:val="1"/>
                <w:color w:val="auto"/>
                <w:w w:val="96"/>
              </w:rPr>
              <w:t>INDEX TO CONSOLIDATED FINANCIAL STATEMENTS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2"/>
                <w:szCs w:val="22"/>
                <w:color w:val="auto"/>
              </w:rPr>
            </w:pPr>
          </w:p>
        </w:tc>
        <w:tc>
          <w:tcPr>
            <w:tcW w:w="9020" w:type="dxa"/>
            <w:vAlign w:val="bottom"/>
            <w:gridSpan w:val="8"/>
          </w:tcPr>
          <w:p>
            <w:pPr>
              <w:spacing w:after="0"/>
              <w:rPr>
                <w:rFonts w:ascii="Arial" w:cs="Arial" w:eastAsia="Arial" w:hAnsi="Arial"/>
                <w:sz w:val="12"/>
                <w:szCs w:val="12"/>
                <w:b w:val="1"/>
                <w:bCs w:val="1"/>
                <w:color w:val="0000EE"/>
              </w:rPr>
            </w:pPr>
            <w:hyperlink w:anchor="page173">
              <w:r>
                <w:rPr>
                  <w:rFonts w:ascii="Arial" w:cs="Arial" w:eastAsia="Arial" w:hAnsi="Arial"/>
                  <w:sz w:val="12"/>
                  <w:szCs w:val="12"/>
                  <w:b w:val="1"/>
                  <w:bCs w:val="1"/>
                  <w:color w:val="0000EE"/>
                </w:rPr>
                <w:t>Report of Independent Registered Public Accounting Firm</w:t>
              </w:r>
            </w:hyperlink>
          </w:p>
        </w:tc>
        <w:tc>
          <w:tcPr>
            <w:tcW w:w="1320" w:type="dxa"/>
            <w:vAlign w:val="bottom"/>
            <w:gridSpan w:val="2"/>
          </w:tcPr>
          <w:p>
            <w:pPr>
              <w:spacing w:after="0"/>
              <w:rPr>
                <w:rFonts w:ascii="Arial" w:cs="Arial" w:eastAsia="Arial" w:hAnsi="Arial"/>
                <w:sz w:val="12"/>
                <w:szCs w:val="12"/>
                <w:b w:val="1"/>
                <w:bCs w:val="1"/>
                <w:color w:val="0000EE"/>
              </w:rPr>
            </w:pPr>
            <w:hyperlink w:anchor="page173">
              <w:r>
                <w:rPr>
                  <w:rFonts w:ascii="Arial" w:cs="Arial" w:eastAsia="Arial" w:hAnsi="Arial"/>
                  <w:sz w:val="12"/>
                  <w:szCs w:val="12"/>
                  <w:b w:val="1"/>
                  <w:bCs w:val="1"/>
                  <w:color w:val="0000EE"/>
                </w:rPr>
                <w:t>F-2</w:t>
              </w:r>
            </w:hyperlink>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3240" w:type="dxa"/>
            <w:vAlign w:val="bottom"/>
            <w:tcBorders>
              <w:top w:val="single" w:sz="8" w:color="0000EE"/>
            </w:tcBorders>
            <w:gridSpan w:val="5"/>
          </w:tcPr>
          <w:p>
            <w:pPr>
              <w:spacing w:after="0" w:line="115" w:lineRule="exact"/>
              <w:rPr>
                <w:rFonts w:ascii="Arial" w:cs="Arial" w:eastAsia="Arial" w:hAnsi="Arial"/>
                <w:sz w:val="12"/>
                <w:szCs w:val="12"/>
                <w:b w:val="1"/>
                <w:bCs w:val="1"/>
                <w:color w:val="0000EE"/>
              </w:rPr>
            </w:pPr>
            <w:hyperlink w:anchor="page174">
              <w:r>
                <w:rPr>
                  <w:rFonts w:ascii="Arial" w:cs="Arial" w:eastAsia="Arial" w:hAnsi="Arial"/>
                  <w:sz w:val="12"/>
                  <w:szCs w:val="12"/>
                  <w:b w:val="1"/>
                  <w:bCs w:val="1"/>
                  <w:color w:val="0000EE"/>
                </w:rPr>
                <w:t>Consolidated Balance Sheets</w:t>
              </w:r>
            </w:hyperlink>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Borders>
              <w:top w:val="single" w:sz="8" w:color="0000EE"/>
            </w:tcBorders>
          </w:tcPr>
          <w:p>
            <w:pPr>
              <w:spacing w:after="0" w:line="115" w:lineRule="exact"/>
              <w:rPr>
                <w:rFonts w:ascii="Arial" w:cs="Arial" w:eastAsia="Arial" w:hAnsi="Arial"/>
                <w:sz w:val="12"/>
                <w:szCs w:val="12"/>
                <w:b w:val="1"/>
                <w:bCs w:val="1"/>
                <w:color w:val="0000EE"/>
                <w:w w:val="77"/>
              </w:rPr>
            </w:pPr>
            <w:hyperlink w:anchor="page174">
              <w:r>
                <w:rPr>
                  <w:rFonts w:ascii="Arial" w:cs="Arial" w:eastAsia="Arial" w:hAnsi="Arial"/>
                  <w:sz w:val="12"/>
                  <w:szCs w:val="12"/>
                  <w:b w:val="1"/>
                  <w:bCs w:val="1"/>
                  <w:color w:val="0000EE"/>
                  <w:w w:val="77"/>
                </w:rPr>
                <w:t>F-3</w:t>
              </w:r>
            </w:hyperlink>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1640" w:type="dxa"/>
            <w:vAlign w:val="bottom"/>
            <w:tcBorders>
              <w:top w:val="single" w:sz="8" w:color="0000EE"/>
              <w:bottom w:val="single" w:sz="8" w:color="0000EE"/>
            </w:tcBorders>
          </w:tcPr>
          <w:p>
            <w:pPr>
              <w:spacing w:after="0" w:line="115" w:lineRule="exact"/>
              <w:rPr>
                <w:rFonts w:ascii="Arial" w:cs="Arial" w:eastAsia="Arial" w:hAnsi="Arial"/>
                <w:sz w:val="12"/>
                <w:szCs w:val="12"/>
                <w:b w:val="1"/>
                <w:bCs w:val="1"/>
                <w:color w:val="0000EE"/>
              </w:rPr>
            </w:pPr>
            <w:hyperlink w:anchor="page175">
              <w:r>
                <w:rPr>
                  <w:rFonts w:ascii="Arial" w:cs="Arial" w:eastAsia="Arial" w:hAnsi="Arial"/>
                  <w:sz w:val="12"/>
                  <w:szCs w:val="12"/>
                  <w:b w:val="1"/>
                  <w:bCs w:val="1"/>
                  <w:color w:val="0000EE"/>
                </w:rPr>
                <w:t>Consolidated Statements of</w:t>
              </w:r>
            </w:hyperlink>
          </w:p>
        </w:tc>
        <w:tc>
          <w:tcPr>
            <w:tcW w:w="560" w:type="dxa"/>
            <w:vAlign w:val="bottom"/>
            <w:tcBorders>
              <w:bottom w:val="single" w:sz="8" w:color="0000EE"/>
            </w:tcBorders>
          </w:tcPr>
          <w:p>
            <w:pPr>
              <w:spacing w:after="0" w:line="115" w:lineRule="exact"/>
              <w:rPr>
                <w:rFonts w:ascii="Arial" w:cs="Arial" w:eastAsia="Arial" w:hAnsi="Arial"/>
                <w:sz w:val="12"/>
                <w:szCs w:val="12"/>
                <w:b w:val="1"/>
                <w:bCs w:val="1"/>
                <w:color w:val="0000EE"/>
                <w:w w:val="85"/>
              </w:rPr>
            </w:pPr>
            <w:hyperlink w:anchor="page175">
              <w:r>
                <w:rPr>
                  <w:rFonts w:ascii="Arial" w:cs="Arial" w:eastAsia="Arial" w:hAnsi="Arial"/>
                  <w:sz w:val="12"/>
                  <w:szCs w:val="12"/>
                  <w:b w:val="1"/>
                  <w:bCs w:val="1"/>
                  <w:color w:val="0000EE"/>
                  <w:w w:val="85"/>
                </w:rPr>
                <w:t>Operations</w:t>
              </w:r>
            </w:hyperlink>
          </w:p>
        </w:tc>
        <w:tc>
          <w:tcPr>
            <w:tcW w:w="6820" w:type="dxa"/>
            <w:vAlign w:val="bottom"/>
            <w:gridSpan w:val="6"/>
          </w:tcPr>
          <w:p>
            <w:pPr>
              <w:spacing w:after="0"/>
              <w:rPr>
                <w:sz w:val="10"/>
                <w:szCs w:val="10"/>
                <w:color w:val="auto"/>
              </w:rPr>
            </w:pPr>
          </w:p>
        </w:tc>
        <w:tc>
          <w:tcPr>
            <w:tcW w:w="160" w:type="dxa"/>
            <w:vAlign w:val="bottom"/>
            <w:tcBorders>
              <w:top w:val="single" w:sz="8" w:color="0000EE"/>
              <w:bottom w:val="single" w:sz="8" w:color="0000EE"/>
            </w:tcBorders>
          </w:tcPr>
          <w:p>
            <w:pPr>
              <w:spacing w:after="0" w:line="115" w:lineRule="exact"/>
              <w:rPr>
                <w:rFonts w:ascii="Arial" w:cs="Arial" w:eastAsia="Arial" w:hAnsi="Arial"/>
                <w:sz w:val="12"/>
                <w:szCs w:val="12"/>
                <w:b w:val="1"/>
                <w:bCs w:val="1"/>
                <w:color w:val="0000EE"/>
                <w:w w:val="77"/>
              </w:rPr>
            </w:pPr>
            <w:hyperlink w:anchor="page175">
              <w:r>
                <w:rPr>
                  <w:rFonts w:ascii="Arial" w:cs="Arial" w:eastAsia="Arial" w:hAnsi="Arial"/>
                  <w:sz w:val="12"/>
                  <w:szCs w:val="12"/>
                  <w:b w:val="1"/>
                  <w:bCs w:val="1"/>
                  <w:color w:val="0000EE"/>
                  <w:w w:val="77"/>
                </w:rPr>
                <w:t>F-4</w:t>
              </w:r>
            </w:hyperlink>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9020" w:type="dxa"/>
            <w:vAlign w:val="bottom"/>
            <w:gridSpan w:val="8"/>
          </w:tcPr>
          <w:p>
            <w:pPr>
              <w:spacing w:after="0" w:line="115" w:lineRule="exact"/>
              <w:rPr>
                <w:rFonts w:ascii="Arial" w:cs="Arial" w:eastAsia="Arial" w:hAnsi="Arial"/>
                <w:sz w:val="12"/>
                <w:szCs w:val="12"/>
                <w:b w:val="1"/>
                <w:bCs w:val="1"/>
                <w:color w:val="0000EE"/>
              </w:rPr>
            </w:pPr>
            <w:hyperlink w:anchor="page176">
              <w:r>
                <w:rPr>
                  <w:rFonts w:ascii="Arial" w:cs="Arial" w:eastAsia="Arial" w:hAnsi="Arial"/>
                  <w:sz w:val="12"/>
                  <w:szCs w:val="12"/>
                  <w:b w:val="1"/>
                  <w:bCs w:val="1"/>
                  <w:color w:val="0000EE"/>
                </w:rPr>
                <w:t>Consolidated Statements of Comprehensive (Loss) Income</w:t>
              </w:r>
            </w:hyperlink>
          </w:p>
        </w:tc>
        <w:tc>
          <w:tcPr>
            <w:tcW w:w="160" w:type="dxa"/>
            <w:vAlign w:val="bottom"/>
          </w:tcPr>
          <w:p>
            <w:pPr>
              <w:spacing w:after="0" w:line="115" w:lineRule="exact"/>
              <w:rPr>
                <w:rFonts w:ascii="Arial" w:cs="Arial" w:eastAsia="Arial" w:hAnsi="Arial"/>
                <w:sz w:val="12"/>
                <w:szCs w:val="12"/>
                <w:b w:val="1"/>
                <w:bCs w:val="1"/>
                <w:color w:val="0000EE"/>
                <w:w w:val="77"/>
              </w:rPr>
            </w:pPr>
            <w:hyperlink w:anchor="page176">
              <w:r>
                <w:rPr>
                  <w:rFonts w:ascii="Arial" w:cs="Arial" w:eastAsia="Arial" w:hAnsi="Arial"/>
                  <w:sz w:val="12"/>
                  <w:szCs w:val="12"/>
                  <w:b w:val="1"/>
                  <w:bCs w:val="1"/>
                  <w:color w:val="0000EE"/>
                  <w:w w:val="77"/>
                </w:rPr>
                <w:t>F-5</w:t>
              </w:r>
            </w:hyperlink>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Pr>
          <w:p>
            <w:pPr>
              <w:spacing w:after="0"/>
              <w:rPr>
                <w:sz w:val="10"/>
                <w:szCs w:val="10"/>
                <w:color w:val="auto"/>
              </w:rPr>
            </w:pPr>
          </w:p>
        </w:tc>
        <w:tc>
          <w:tcPr>
            <w:tcW w:w="9020" w:type="dxa"/>
            <w:vAlign w:val="bottom"/>
            <w:gridSpan w:val="8"/>
          </w:tcPr>
          <w:p>
            <w:pPr>
              <w:spacing w:after="0" w:line="115" w:lineRule="exact"/>
              <w:rPr>
                <w:rFonts w:ascii="Arial" w:cs="Arial" w:eastAsia="Arial" w:hAnsi="Arial"/>
                <w:sz w:val="12"/>
                <w:szCs w:val="12"/>
                <w:b w:val="1"/>
                <w:bCs w:val="1"/>
                <w:color w:val="0000EE"/>
              </w:rPr>
            </w:pPr>
            <w:hyperlink w:anchor="page177">
              <w:r>
                <w:rPr>
                  <w:rFonts w:ascii="Arial" w:cs="Arial" w:eastAsia="Arial" w:hAnsi="Arial"/>
                  <w:sz w:val="12"/>
                  <w:szCs w:val="12"/>
                  <w:b w:val="1"/>
                  <w:bCs w:val="1"/>
                  <w:color w:val="0000EE"/>
                </w:rPr>
                <w:t>Consolidated Statements of Convertible Preferred Stock and Stockholders' Equity (Deficit)</w:t>
              </w:r>
            </w:hyperlink>
          </w:p>
        </w:tc>
        <w:tc>
          <w:tcPr>
            <w:tcW w:w="160" w:type="dxa"/>
            <w:vAlign w:val="bottom"/>
          </w:tcPr>
          <w:p>
            <w:pPr>
              <w:spacing w:after="0" w:line="115" w:lineRule="exact"/>
              <w:rPr>
                <w:rFonts w:ascii="Arial" w:cs="Arial" w:eastAsia="Arial" w:hAnsi="Arial"/>
                <w:sz w:val="12"/>
                <w:szCs w:val="12"/>
                <w:b w:val="1"/>
                <w:bCs w:val="1"/>
                <w:color w:val="0000EE"/>
                <w:w w:val="77"/>
              </w:rPr>
            </w:pPr>
            <w:hyperlink w:anchor="page177">
              <w:r>
                <w:rPr>
                  <w:rFonts w:ascii="Arial" w:cs="Arial" w:eastAsia="Arial" w:hAnsi="Arial"/>
                  <w:sz w:val="12"/>
                  <w:szCs w:val="12"/>
                  <w:b w:val="1"/>
                  <w:bCs w:val="1"/>
                  <w:color w:val="0000EE"/>
                  <w:w w:val="77"/>
                </w:rPr>
                <w:t>F-6</w:t>
              </w:r>
            </w:hyperlink>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2240" w:type="dxa"/>
            <w:vAlign w:val="bottom"/>
            <w:tcBorders>
              <w:top w:val="single" w:sz="8" w:color="0000EE"/>
              <w:bottom w:val="single" w:sz="8" w:color="0000EE"/>
            </w:tcBorders>
            <w:gridSpan w:val="3"/>
          </w:tcPr>
          <w:p>
            <w:pPr>
              <w:spacing w:after="0" w:line="115" w:lineRule="exact"/>
              <w:rPr>
                <w:rFonts w:ascii="Arial" w:cs="Arial" w:eastAsia="Arial" w:hAnsi="Arial"/>
                <w:sz w:val="12"/>
                <w:szCs w:val="12"/>
                <w:b w:val="1"/>
                <w:bCs w:val="1"/>
                <w:color w:val="0000EE"/>
                <w:w w:val="97"/>
              </w:rPr>
            </w:pPr>
            <w:hyperlink w:anchor="page178">
              <w:r>
                <w:rPr>
                  <w:rFonts w:ascii="Arial" w:cs="Arial" w:eastAsia="Arial" w:hAnsi="Arial"/>
                  <w:sz w:val="12"/>
                  <w:szCs w:val="12"/>
                  <w:b w:val="1"/>
                  <w:bCs w:val="1"/>
                  <w:color w:val="0000EE"/>
                  <w:w w:val="97"/>
                </w:rPr>
                <w:t>Consolidated Statements of Cash Flows</w:t>
              </w:r>
            </w:hyperlink>
          </w:p>
        </w:tc>
        <w:tc>
          <w:tcPr>
            <w:tcW w:w="2800" w:type="dxa"/>
            <w:vAlign w:val="bottom"/>
            <w:tcBorders>
              <w:top w:val="single" w:sz="8" w:color="0000EE"/>
            </w:tcBorders>
            <w:gridSpan w:val="4"/>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Borders>
              <w:top w:val="single" w:sz="8" w:color="0000EE"/>
              <w:bottom w:val="single" w:sz="8" w:color="0000EE"/>
            </w:tcBorders>
          </w:tcPr>
          <w:p>
            <w:pPr>
              <w:spacing w:after="0" w:line="115" w:lineRule="exact"/>
              <w:rPr>
                <w:rFonts w:ascii="Arial" w:cs="Arial" w:eastAsia="Arial" w:hAnsi="Arial"/>
                <w:sz w:val="12"/>
                <w:szCs w:val="12"/>
                <w:b w:val="1"/>
                <w:bCs w:val="1"/>
                <w:color w:val="0000EE"/>
                <w:w w:val="77"/>
              </w:rPr>
            </w:pPr>
            <w:hyperlink w:anchor="page178">
              <w:r>
                <w:rPr>
                  <w:rFonts w:ascii="Arial" w:cs="Arial" w:eastAsia="Arial" w:hAnsi="Arial"/>
                  <w:sz w:val="12"/>
                  <w:szCs w:val="12"/>
                  <w:b w:val="1"/>
                  <w:bCs w:val="1"/>
                  <w:color w:val="0000EE"/>
                  <w:w w:val="77"/>
                </w:rPr>
                <w:t>F-7</w:t>
              </w:r>
            </w:hyperlink>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9020" w:type="dxa"/>
            <w:vAlign w:val="bottom"/>
            <w:gridSpan w:val="8"/>
          </w:tcPr>
          <w:p>
            <w:pPr>
              <w:spacing w:after="0" w:line="115" w:lineRule="exact"/>
              <w:rPr>
                <w:rFonts w:ascii="Arial" w:cs="Arial" w:eastAsia="Arial" w:hAnsi="Arial"/>
                <w:sz w:val="12"/>
                <w:szCs w:val="12"/>
                <w:b w:val="1"/>
                <w:bCs w:val="1"/>
                <w:color w:val="0000EE"/>
              </w:rPr>
            </w:pPr>
            <w:hyperlink w:anchor="page179">
              <w:r>
                <w:rPr>
                  <w:rFonts w:ascii="Arial" w:cs="Arial" w:eastAsia="Arial" w:hAnsi="Arial"/>
                  <w:sz w:val="12"/>
                  <w:szCs w:val="12"/>
                  <w:b w:val="1"/>
                  <w:bCs w:val="1"/>
                  <w:color w:val="0000EE"/>
                </w:rPr>
                <w:t>Notes to Consolidated Financial Statements</w:t>
              </w:r>
            </w:hyperlink>
          </w:p>
        </w:tc>
        <w:tc>
          <w:tcPr>
            <w:tcW w:w="160" w:type="dxa"/>
            <w:vAlign w:val="bottom"/>
          </w:tcPr>
          <w:p>
            <w:pPr>
              <w:spacing w:after="0" w:line="115" w:lineRule="exact"/>
              <w:rPr>
                <w:rFonts w:ascii="Arial" w:cs="Arial" w:eastAsia="Arial" w:hAnsi="Arial"/>
                <w:sz w:val="12"/>
                <w:szCs w:val="12"/>
                <w:b w:val="1"/>
                <w:bCs w:val="1"/>
                <w:color w:val="0000EE"/>
                <w:w w:val="77"/>
              </w:rPr>
            </w:pPr>
            <w:hyperlink w:anchor="page179">
              <w:r>
                <w:rPr>
                  <w:rFonts w:ascii="Arial" w:cs="Arial" w:eastAsia="Arial" w:hAnsi="Arial"/>
                  <w:sz w:val="12"/>
                  <w:szCs w:val="12"/>
                  <w:b w:val="1"/>
                  <w:bCs w:val="1"/>
                  <w:color w:val="0000EE"/>
                  <w:w w:val="77"/>
                </w:rPr>
                <w:t>F-8</w:t>
              </w:r>
            </w:hyperlink>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140" w:type="dxa"/>
            <w:vAlign w:val="bottom"/>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2"/>
          </w:tcPr>
          <w:p>
            <w:pPr>
              <w:jc w:val="center"/>
              <w:ind w:right="3120"/>
              <w:spacing w:after="0"/>
              <w:rPr>
                <w:sz w:val="20"/>
                <w:szCs w:val="20"/>
                <w:color w:val="auto"/>
              </w:rPr>
            </w:pPr>
            <w:r>
              <w:rPr>
                <w:rFonts w:ascii="Arial" w:cs="Arial" w:eastAsia="Arial" w:hAnsi="Arial"/>
                <w:sz w:val="12"/>
                <w:szCs w:val="12"/>
                <w:color w:val="auto"/>
                <w:w w:val="99"/>
              </w:rPr>
              <w:t>F-1</w:t>
            </w:r>
          </w:p>
        </w:tc>
        <w:tc>
          <w:tcPr>
            <w:tcW w:w="1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760" w:type="dxa"/>
            <w:vAlign w:val="bottom"/>
            <w:tcBorders>
              <w:bottom w:val="single" w:sz="8" w:color="808080"/>
            </w:tcBorders>
          </w:tcPr>
          <w:p>
            <w:pPr>
              <w:spacing w:after="0"/>
              <w:rPr>
                <w:sz w:val="12"/>
                <w:szCs w:val="12"/>
                <w:color w:val="auto"/>
              </w:rPr>
            </w:pPr>
          </w:p>
        </w:tc>
        <w:tc>
          <w:tcPr>
            <w:tcW w:w="39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72" w:name="page173"/>
    <w:bookmarkEnd w:id="17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 of</w:t>
      </w:r>
    </w:p>
    <w:p>
      <w:pPr>
        <w:spacing w:after="0"/>
        <w:rPr>
          <w:sz w:val="20"/>
          <w:szCs w:val="20"/>
          <w:color w:val="auto"/>
        </w:rPr>
      </w:pPr>
      <w:r>
        <w:rPr>
          <w:rFonts w:ascii="Arial" w:cs="Arial" w:eastAsia="Arial" w:hAnsi="Arial"/>
          <w:sz w:val="12"/>
          <w:szCs w:val="12"/>
          <w:color w:val="auto"/>
        </w:rPr>
        <w:t>CarGurus, Inc.</w:t>
      </w:r>
    </w:p>
    <w:p>
      <w:pPr>
        <w:spacing w:after="0" w:line="141"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We have audited the accompanying consolidated balance sheets of CarGurus, Inc. as of December 31, 2015 and 2016, and the related consolidated statements of operations, comprehensive (loss) income, convertible preferred stock and stockholders' equity (deficit) and cash flows for the years then ended. These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ind w:firstLine="326"/>
        <w:spacing w:after="0" w:line="262"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consolidated financial position of CarGurus, Inc. at December 31, 2015 and 2016, and the consolidated results of its operations and its cash flows for the years then ended in conformity with U.S. generally accepted accounting principles.</w:t>
      </w:r>
    </w:p>
    <w:p>
      <w:pPr>
        <w:spacing w:after="0" w:line="139"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/s/ Ernst &amp; Young LLP</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Boston, Massachusetts</w:t>
      </w:r>
    </w:p>
    <w:p>
      <w:pPr>
        <w:ind w:left="1140"/>
        <w:spacing w:after="0"/>
        <w:rPr>
          <w:sz w:val="20"/>
          <w:szCs w:val="20"/>
          <w:color w:val="auto"/>
        </w:rPr>
      </w:pPr>
      <w:r>
        <w:rPr>
          <w:rFonts w:ascii="Arial" w:cs="Arial" w:eastAsia="Arial" w:hAnsi="Arial"/>
          <w:sz w:val="12"/>
          <w:szCs w:val="12"/>
          <w:color w:val="auto"/>
        </w:rPr>
        <w:t>June 21, 2017</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73" w:name="page174"/>
    <w:bookmarkEnd w:id="17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CarGurus, Inc.</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Consolidated Balance Sheets</w:t>
      </w:r>
    </w:p>
    <w:p>
      <w:pPr>
        <w:spacing w:after="0" w:line="132"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6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0"/>
                <w:szCs w:val="10"/>
                <w:color w:val="auto"/>
              </w:rPr>
              <w:t>At December 31,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0"/>
                <w:szCs w:val="10"/>
                <w:color w:val="auto"/>
              </w:rPr>
              <w:t>At June 30, 2017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Actual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3"/>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right"/>
              <w:ind w:right="400"/>
              <w:spacing w:after="0"/>
              <w:rPr>
                <w:sz w:val="20"/>
                <w:szCs w:val="20"/>
                <w:color w:val="auto"/>
              </w:rPr>
            </w:pPr>
            <w:r>
              <w:rPr>
                <w:rFonts w:ascii="Arial" w:cs="Arial" w:eastAsia="Arial" w:hAnsi="Arial"/>
                <w:sz w:val="10"/>
                <w:szCs w:val="10"/>
                <w:color w:val="auto"/>
              </w:rPr>
              <w:t>(unaudited)</w:t>
            </w: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Cash and cash equivalents</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61,363</w:t>
            </w:r>
          </w:p>
        </w:tc>
        <w:tc>
          <w:tcPr>
            <w:tcW w:w="8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29,476</w:t>
            </w:r>
          </w:p>
        </w:tc>
        <w:tc>
          <w:tcPr>
            <w:tcW w:w="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33,309</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44,774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48,000</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Accounts receivable, net of allowance for doubtful accounts of $75, $164, and $183, respectively</w:t>
            </w: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5,729</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6,653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8,992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Prepaid income taxes</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621</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1,815</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100"/>
              <w:spacing w:after="0"/>
              <w:rPr>
                <w:sz w:val="20"/>
                <w:szCs w:val="20"/>
                <w:color w:val="auto"/>
              </w:rPr>
            </w:pPr>
            <w:r>
              <w:rPr>
                <w:rFonts w:ascii="Arial" w:cs="Arial" w:eastAsia="Arial" w:hAnsi="Arial"/>
                <w:sz w:val="10"/>
                <w:szCs w:val="10"/>
                <w:color w:val="auto"/>
              </w:rPr>
              <w:t>Prepaid expenses and other current assets</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2,789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68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Total current assets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69,144</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85,507</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95,811</w:t>
            </w:r>
          </w:p>
        </w:tc>
        <w:tc>
          <w:tcPr>
            <w:tcW w:w="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0"/>
                <w:szCs w:val="10"/>
                <w:color w:val="auto"/>
              </w:rPr>
              <w:t>Property and equipment, net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7,147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12,780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15,897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2,044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2,044</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spacing w:after="0" w:line="108" w:lineRule="exact"/>
              <w:rPr>
                <w:sz w:val="20"/>
                <w:szCs w:val="20"/>
                <w:color w:val="auto"/>
              </w:rPr>
            </w:pPr>
            <w:r>
              <w:rPr>
                <w:rFonts w:ascii="Arial" w:cs="Arial" w:eastAsia="Arial" w:hAnsi="Arial"/>
                <w:sz w:val="10"/>
                <w:szCs w:val="10"/>
                <w:color w:val="auto"/>
              </w:rPr>
              <w:t>Deferred tax assets</w:t>
            </w: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490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long-term assets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1,854</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60" w:type="dxa"/>
            <w:vAlign w:val="bottom"/>
          </w:tcPr>
          <w:p>
            <w:pPr>
              <w:spacing w:after="0"/>
              <w:rPr>
                <w:sz w:val="20"/>
                <w:szCs w:val="20"/>
                <w:color w:val="auto"/>
              </w:rPr>
            </w:pPr>
            <w:r>
              <w:rPr>
                <w:rFonts w:ascii="Arial" w:cs="Arial" w:eastAsia="Arial" w:hAnsi="Arial"/>
                <w:sz w:val="10"/>
                <w:szCs w:val="10"/>
                <w:color w:val="auto"/>
              </w:rPr>
              <w:t>Total assets</w:t>
            </w: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77,781</w:t>
            </w:r>
          </w:p>
        </w:tc>
        <w:tc>
          <w:tcPr>
            <w:tcW w:w="80" w:type="dxa"/>
            <w:vAlign w:val="bottom"/>
          </w:tcPr>
          <w:p>
            <w:pPr>
              <w:spacing w:after="0"/>
              <w:rPr>
                <w:sz w:val="11"/>
                <w:szCs w:val="1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w w:val="99"/>
              </w:rPr>
              <w:t>100,331</w:t>
            </w:r>
          </w:p>
        </w:tc>
        <w:tc>
          <w:tcPr>
            <w:tcW w:w="6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w w:val="99"/>
              </w:rPr>
              <w:t>115,606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 convertible preferred stock, and stockholders' (deficit) equity</w:t>
            </w: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Pr>
          <w:p>
            <w:pPr>
              <w:spacing w:after="0" w:line="108" w:lineRule="exact"/>
              <w:rPr>
                <w:sz w:val="20"/>
                <w:szCs w:val="20"/>
                <w:color w:val="auto"/>
              </w:rPr>
            </w:pPr>
            <w:r>
              <w:rPr>
                <w:rFonts w:ascii="Arial" w:cs="Arial" w:eastAsia="Arial" w:hAnsi="Arial"/>
                <w:sz w:val="10"/>
                <w:szCs w:val="10"/>
                <w:color w:val="auto"/>
              </w:rPr>
              <w:t>Current liabilities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10,476</w:t>
            </w:r>
          </w:p>
        </w:tc>
        <w:tc>
          <w:tcPr>
            <w:tcW w:w="8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16,426</w:t>
            </w:r>
          </w:p>
        </w:tc>
        <w:tc>
          <w:tcPr>
            <w:tcW w:w="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18,000</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Accrued expenses</w:t>
            </w: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3,930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8,384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8,500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1,474</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3,330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4,581</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Accrued income taxes</w:t>
            </w:r>
          </w:p>
        </w:tc>
        <w:tc>
          <w:tcPr>
            <w:tcW w:w="80" w:type="dxa"/>
            <w:vAlign w:val="bottom"/>
          </w:tcPr>
          <w:p>
            <w:pPr>
              <w:spacing w:after="0"/>
              <w:rPr>
                <w:sz w:val="9"/>
                <w:szCs w:val="9"/>
                <w:color w:val="auto"/>
              </w:rPr>
            </w:pPr>
          </w:p>
        </w:tc>
        <w:tc>
          <w:tcPr>
            <w:tcW w:w="4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2,071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Deferred rent</w:t>
            </w:r>
          </w:p>
        </w:tc>
        <w:tc>
          <w:tcPr>
            <w:tcW w:w="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513</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910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1,125</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860" w:type="dxa"/>
            <w:vAlign w:val="bottom"/>
          </w:tcPr>
          <w:p>
            <w:pPr>
              <w:spacing w:after="0" w:line="97" w:lineRule="exact"/>
              <w:rPr>
                <w:sz w:val="20"/>
                <w:szCs w:val="20"/>
                <w:color w:val="auto"/>
              </w:rPr>
            </w:pPr>
            <w:r>
              <w:rPr>
                <w:rFonts w:ascii="Arial" w:cs="Arial" w:eastAsia="Arial" w:hAnsi="Arial"/>
                <w:sz w:val="10"/>
                <w:szCs w:val="10"/>
                <w:color w:val="auto"/>
              </w:rPr>
              <w:t>Total current liabilities</w:t>
            </w:r>
          </w:p>
        </w:tc>
        <w:tc>
          <w:tcPr>
            <w:tcW w:w="8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10"/>
                <w:szCs w:val="10"/>
                <w:color w:val="auto"/>
              </w:rPr>
              <w:t>16,393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Arial" w:cs="Arial" w:eastAsia="Arial" w:hAnsi="Arial"/>
                <w:sz w:val="10"/>
                <w:szCs w:val="10"/>
                <w:color w:val="auto"/>
              </w:rPr>
              <w:t>29,050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Arial" w:cs="Arial" w:eastAsia="Arial" w:hAnsi="Arial"/>
                <w:sz w:val="10"/>
                <w:szCs w:val="10"/>
                <w:color w:val="auto"/>
              </w:rPr>
              <w:t>34,277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Deferred rent, net of current portion</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4,141</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5,673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6,126</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spacing w:after="0" w:line="108" w:lineRule="exact"/>
              <w:rPr>
                <w:sz w:val="20"/>
                <w:szCs w:val="20"/>
                <w:color w:val="auto"/>
              </w:rPr>
            </w:pPr>
            <w:r>
              <w:rPr>
                <w:rFonts w:ascii="Arial" w:cs="Arial" w:eastAsia="Arial" w:hAnsi="Arial"/>
                <w:sz w:val="10"/>
                <w:szCs w:val="10"/>
                <w:color w:val="auto"/>
              </w:rPr>
              <w:t>Deferred tax liabilities</w:t>
            </w:r>
          </w:p>
        </w:tc>
        <w:tc>
          <w:tcPr>
            <w:tcW w:w="80" w:type="dxa"/>
            <w:vAlign w:val="bottom"/>
          </w:tcPr>
          <w:p>
            <w:pPr>
              <w:spacing w:after="0"/>
              <w:rPr>
                <w:sz w:val="9"/>
                <w:szCs w:val="9"/>
                <w:color w:val="auto"/>
              </w:rPr>
            </w:pPr>
          </w:p>
        </w:tc>
        <w:tc>
          <w:tcPr>
            <w:tcW w:w="4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292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701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non-current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748</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860" w:type="dxa"/>
            <w:vAlign w:val="bottom"/>
          </w:tcPr>
          <w:p>
            <w:pPr>
              <w:spacing w:after="0" w:line="97" w:lineRule="exact"/>
              <w:rPr>
                <w:sz w:val="20"/>
                <w:szCs w:val="20"/>
                <w:color w:val="auto"/>
              </w:rPr>
            </w:pPr>
            <w:r>
              <w:rPr>
                <w:rFonts w:ascii="Arial" w:cs="Arial" w:eastAsia="Arial" w:hAnsi="Arial"/>
                <w:sz w:val="10"/>
                <w:szCs w:val="10"/>
                <w:color w:val="auto"/>
              </w:rPr>
              <w:t>Total liabilities</w:t>
            </w: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20,534</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35,605</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41,852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0"/>
                <w:szCs w:val="10"/>
                <w:color w:val="auto"/>
              </w:rPr>
              <w:t>Commitments and contingencies (Note 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0"/>
                <w:szCs w:val="10"/>
                <w:color w:val="auto"/>
              </w:rPr>
              <w:t>Convertible preferred stock (Note 5)</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73,378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9"/>
              </w:rPr>
              <w:t>132,698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9"/>
              </w:rPr>
              <w:t>132,698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0"/>
                <w:szCs w:val="10"/>
                <w:color w:val="auto"/>
              </w:rPr>
              <w:t>Stockholders' equity: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860" w:type="dxa"/>
            <w:vAlign w:val="bottom"/>
          </w:tcPr>
          <w:p>
            <w:pPr>
              <w:ind w:left="100"/>
              <w:spacing w:after="0" w:line="112" w:lineRule="exact"/>
              <w:rPr>
                <w:sz w:val="20"/>
                <w:szCs w:val="20"/>
                <w:color w:val="auto"/>
              </w:rPr>
            </w:pPr>
            <w:r>
              <w:rPr>
                <w:rFonts w:ascii="Arial" w:cs="Arial" w:eastAsia="Arial" w:hAnsi="Arial"/>
                <w:sz w:val="10"/>
                <w:szCs w:val="10"/>
                <w:color w:val="auto"/>
              </w:rPr>
              <w:t>Class A common stock, $0.001 par value; 120,020,700 shares authorized; 14,879,954, 14,022,132, and 14,080,616 shares issued and outstanding at</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60" w:type="dxa"/>
            <w:vAlign w:val="bottom"/>
          </w:tcPr>
          <w:p>
            <w:pPr>
              <w:ind w:left="200"/>
              <w:spacing w:after="0" w:line="105" w:lineRule="exact"/>
              <w:rPr>
                <w:sz w:val="20"/>
                <w:szCs w:val="20"/>
                <w:color w:val="auto"/>
              </w:rPr>
            </w:pPr>
            <w:r>
              <w:rPr>
                <w:rFonts w:ascii="Arial" w:cs="Arial" w:eastAsia="Arial" w:hAnsi="Arial"/>
                <w:sz w:val="10"/>
                <w:szCs w:val="10"/>
                <w:color w:val="auto"/>
              </w:rPr>
              <w:t>December 31, 2015 and 2016 and June 30, 2017 (actual), respectively, and 74,645,294 shares issued and outstanding at June 30, 2017 (pro forma)</w:t>
            </w:r>
          </w:p>
        </w:tc>
        <w:tc>
          <w:tcPr>
            <w:tcW w:w="80" w:type="dxa"/>
            <w:vAlign w:val="bottom"/>
          </w:tcPr>
          <w:p>
            <w:pPr>
              <w:spacing w:after="0"/>
              <w:rPr>
                <w:sz w:val="9"/>
                <w:szCs w:val="9"/>
                <w:color w:val="auto"/>
              </w:rPr>
            </w:pP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rPr>
              <w:t>15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5" w:lineRule="exact"/>
              <w:rPr>
                <w:sz w:val="20"/>
                <w:szCs w:val="20"/>
                <w:color w:val="auto"/>
              </w:rPr>
            </w:pPr>
            <w:r>
              <w:rPr>
                <w:rFonts w:ascii="Arial" w:cs="Arial" w:eastAsia="Arial" w:hAnsi="Arial"/>
                <w:sz w:val="10"/>
                <w:szCs w:val="10"/>
                <w:color w:val="auto"/>
              </w:rPr>
              <w:t>14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5" w:lineRule="exact"/>
              <w:rPr>
                <w:sz w:val="20"/>
                <w:szCs w:val="20"/>
                <w:color w:val="auto"/>
              </w:rPr>
            </w:pPr>
            <w:r>
              <w:rPr>
                <w:rFonts w:ascii="Arial" w:cs="Arial" w:eastAsia="Arial" w:hAnsi="Arial"/>
                <w:sz w:val="10"/>
                <w:szCs w:val="10"/>
                <w:color w:val="auto"/>
              </w:rPr>
              <w:t>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75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6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Class B common stock, $0.001 par value; 80,013,800 shares authorized; 29,759,908, 28,044,264, and 28,161,232 shares issued and outstanding at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60" w:type="dxa"/>
            <w:vAlign w:val="bottom"/>
            <w:shd w:val="clear" w:color="auto" w:fill="CCEEFF"/>
          </w:tcPr>
          <w:p>
            <w:pPr>
              <w:ind w:left="200"/>
              <w:spacing w:after="0" w:line="105" w:lineRule="exact"/>
              <w:rPr>
                <w:sz w:val="20"/>
                <w:szCs w:val="20"/>
                <w:color w:val="auto"/>
              </w:rPr>
            </w:pPr>
            <w:r>
              <w:rPr>
                <w:rFonts w:ascii="Arial" w:cs="Arial" w:eastAsia="Arial" w:hAnsi="Arial"/>
                <w:sz w:val="10"/>
                <w:szCs w:val="10"/>
                <w:color w:val="auto"/>
              </w:rPr>
              <w:t>December 31, 2015 and 2016 and June 30, 2017 (actual), respectively, and 28,161,232 shares issued and outstanding at June 30, 2017 (pro forma)</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Additional paid-in capital</w:t>
            </w: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2,434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3,714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4,032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138,566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6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Accumulated deficit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(18,610)</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(71,698)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(63,145)</w:t>
            </w:r>
          </w:p>
        </w:tc>
        <w:tc>
          <w:tcPr>
            <w:tcW w:w="80" w:type="dxa"/>
            <w:vAlign w:val="bottom"/>
            <w:tcBorders>
              <w:righ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(65,042)</w:t>
            </w:r>
          </w:p>
        </w:tc>
        <w:tc>
          <w:tcPr>
            <w:tcW w:w="0" w:type="dxa"/>
            <w:vAlign w:val="bottom"/>
          </w:tcPr>
          <w:p>
            <w:pPr>
              <w:spacing w:after="0"/>
              <w:rPr>
                <w:sz w:val="1"/>
                <w:szCs w:val="1"/>
                <w:color w:val="auto"/>
              </w:rPr>
            </w:pPr>
          </w:p>
        </w:tc>
      </w:tr>
      <w:tr>
        <w:trPr>
          <w:trHeight w:val="108"/>
        </w:trPr>
        <w:tc>
          <w:tcPr>
            <w:tcW w:w="6860" w:type="dxa"/>
            <w:vAlign w:val="bottom"/>
          </w:tcPr>
          <w:p>
            <w:pPr>
              <w:ind w:left="100"/>
              <w:spacing w:after="0" w:line="108" w:lineRule="exact"/>
              <w:rPr>
                <w:sz w:val="20"/>
                <w:szCs w:val="20"/>
                <w:color w:val="auto"/>
              </w:rPr>
            </w:pPr>
            <w:r>
              <w:rPr>
                <w:rFonts w:ascii="Arial" w:cs="Arial" w:eastAsia="Arial" w:hAnsi="Arial"/>
                <w:sz w:val="10"/>
                <w:szCs w:val="10"/>
                <w:color w:val="auto"/>
              </w:rPr>
              <w:t>Accumulated other comprehensive (loss) income</w:t>
            </w:r>
          </w:p>
        </w:tc>
        <w:tc>
          <w:tcPr>
            <w:tcW w:w="80" w:type="dxa"/>
            <w:vAlign w:val="bottom"/>
          </w:tcPr>
          <w:p>
            <w:pPr>
              <w:spacing w:after="0"/>
              <w:rPr>
                <w:sz w:val="9"/>
                <w:szCs w:val="9"/>
                <w:color w:val="auto"/>
              </w:rPr>
            </w:pPr>
          </w:p>
        </w:tc>
        <w:tc>
          <w:tcPr>
            <w:tcW w:w="4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127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127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86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Total stockholders' (deficit) equity</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(16,131)</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(67,972)</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(58,944)</w:t>
            </w:r>
          </w:p>
        </w:tc>
        <w:tc>
          <w:tcPr>
            <w:tcW w:w="8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73,754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0"/>
                <w:szCs w:val="10"/>
                <w:color w:val="auto"/>
              </w:rPr>
              <w:t>Total liabilities, convertible preferred stock, and stockholders' (deficit) equity</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860" w:type="dxa"/>
            <w:vAlign w:val="bottom"/>
            <w:vMerge w:val="continue"/>
          </w:tcPr>
          <w:p>
            <w:pPr>
              <w:spacing w:after="0"/>
              <w:rPr>
                <w:sz w:val="8"/>
                <w:szCs w:val="8"/>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97" w:lineRule="exact"/>
              <w:rPr>
                <w:sz w:val="20"/>
                <w:szCs w:val="20"/>
                <w:color w:val="auto"/>
              </w:rPr>
            </w:pPr>
            <w:r>
              <w:rPr>
                <w:rFonts w:ascii="Arial" w:cs="Arial" w:eastAsia="Arial" w:hAnsi="Arial"/>
                <w:sz w:val="10"/>
                <w:szCs w:val="10"/>
                <w:color w:val="auto"/>
              </w:rPr>
              <w:t>77,781</w:t>
            </w:r>
          </w:p>
        </w:tc>
        <w:tc>
          <w:tcPr>
            <w:tcW w:w="80" w:type="dxa"/>
            <w:vAlign w:val="bottom"/>
          </w:tcPr>
          <w:p>
            <w:pPr>
              <w:spacing w:after="0"/>
              <w:rPr>
                <w:sz w:val="8"/>
                <w:szCs w:val="8"/>
                <w:color w:val="auto"/>
              </w:rPr>
            </w:pPr>
          </w:p>
        </w:tc>
        <w:tc>
          <w:tcPr>
            <w:tcW w:w="12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97" w:lineRule="exact"/>
              <w:rPr>
                <w:sz w:val="20"/>
                <w:szCs w:val="20"/>
                <w:color w:val="auto"/>
              </w:rPr>
            </w:pPr>
            <w:r>
              <w:rPr>
                <w:rFonts w:ascii="Arial" w:cs="Arial" w:eastAsia="Arial" w:hAnsi="Arial"/>
                <w:sz w:val="10"/>
                <w:szCs w:val="10"/>
                <w:color w:val="auto"/>
                <w:w w:val="99"/>
              </w:rPr>
              <w:t>100,331</w:t>
            </w:r>
          </w:p>
        </w:tc>
        <w:tc>
          <w:tcPr>
            <w:tcW w:w="6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97" w:lineRule="exact"/>
              <w:rPr>
                <w:sz w:val="20"/>
                <w:szCs w:val="20"/>
                <w:color w:val="auto"/>
              </w:rPr>
            </w:pPr>
            <w:r>
              <w:rPr>
                <w:rFonts w:ascii="Arial" w:cs="Arial" w:eastAsia="Arial" w:hAnsi="Arial"/>
                <w:sz w:val="10"/>
                <w:szCs w:val="10"/>
                <w:color w:val="auto"/>
                <w:w w:val="99"/>
              </w:rPr>
              <w:t>115,606</w:t>
            </w:r>
          </w:p>
        </w:tc>
        <w:tc>
          <w:tcPr>
            <w:tcW w:w="80" w:type="dxa"/>
            <w:vAlign w:val="bottom"/>
          </w:tcPr>
          <w:p>
            <w:pPr>
              <w:spacing w:after="0"/>
              <w:rPr>
                <w:sz w:val="8"/>
                <w:szCs w:val="8"/>
                <w:color w:val="auto"/>
              </w:rPr>
            </w:pPr>
          </w:p>
        </w:tc>
        <w:tc>
          <w:tcPr>
            <w:tcW w:w="8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115,606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220" w:top="142" w:right="1339" w:bottom="1440" w:gutter="0" w:footer="0" w:header="0"/>
        </w:sectPr>
      </w:pPr>
    </w:p>
    <w:bookmarkStart w:id="174" w:name="page175"/>
    <w:bookmarkEnd w:id="17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CarGurus, Inc.</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32"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0"/>
                <w:szCs w:val="10"/>
                <w:color w:val="auto"/>
                <w:w w:val="96"/>
              </w:rPr>
              <w:t>Six Months Ended</w:t>
            </w: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right"/>
              <w:ind w:right="120"/>
              <w:spacing w:after="0" w:line="105" w:lineRule="exact"/>
              <w:rPr>
                <w:sz w:val="20"/>
                <w:szCs w:val="20"/>
                <w:color w:val="auto"/>
              </w:rPr>
            </w:pPr>
            <w:r>
              <w:rPr>
                <w:rFonts w:ascii="Arial" w:cs="Arial" w:eastAsia="Arial" w:hAnsi="Arial"/>
                <w:sz w:val="10"/>
                <w:szCs w:val="10"/>
                <w:color w:val="auto"/>
                <w:w w:val="96"/>
              </w:rPr>
              <w:t>Year Ended December 31,</w:t>
            </w:r>
          </w:p>
        </w:tc>
        <w:tc>
          <w:tcPr>
            <w:tcW w:w="100" w:type="dxa"/>
            <w:vAlign w:val="bottom"/>
          </w:tcPr>
          <w:p>
            <w:pPr>
              <w:spacing w:after="0"/>
              <w:rPr>
                <w:sz w:val="9"/>
                <w:szCs w:val="9"/>
                <w:color w:val="auto"/>
              </w:rPr>
            </w:pPr>
          </w:p>
        </w:tc>
        <w:tc>
          <w:tcPr>
            <w:tcW w:w="1320" w:type="dxa"/>
            <w:vAlign w:val="bottom"/>
            <w:gridSpan w:val="5"/>
          </w:tcPr>
          <w:p>
            <w:pPr>
              <w:jc w:val="center"/>
              <w:ind w:right="140"/>
              <w:spacing w:after="0" w:line="105" w:lineRule="exact"/>
              <w:rPr>
                <w:sz w:val="20"/>
                <w:szCs w:val="20"/>
                <w:color w:val="auto"/>
              </w:rPr>
            </w:pPr>
            <w:r>
              <w:rPr>
                <w:rFonts w:ascii="Arial" w:cs="Arial" w:eastAsia="Arial" w:hAnsi="Arial"/>
                <w:sz w:val="10"/>
                <w:szCs w:val="10"/>
                <w:color w:val="auto"/>
                <w:w w:val="98"/>
              </w:rPr>
              <w:t>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2015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2016</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0"/>
                <w:szCs w:val="10"/>
                <w:color w:val="auto"/>
                <w:w w:val="98"/>
              </w:rPr>
              <w:t>(unaudited)</w:t>
            </w: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Revenue</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98,588</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198,141</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84,241</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143,275</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300" w:type="dxa"/>
            <w:vAlign w:val="bottom"/>
            <w:gridSpan w:val="2"/>
          </w:tcPr>
          <w:p>
            <w:pPr>
              <w:spacing w:after="0" w:line="126" w:lineRule="exact"/>
              <w:rPr>
                <w:sz w:val="20"/>
                <w:szCs w:val="20"/>
                <w:color w:val="auto"/>
              </w:rPr>
            </w:pPr>
            <w:r>
              <w:rPr>
                <w:rFonts w:ascii="Arial" w:cs="Arial" w:eastAsia="Arial" w:hAnsi="Arial"/>
                <w:sz w:val="10"/>
                <w:szCs w:val="10"/>
                <w:color w:val="auto"/>
              </w:rPr>
              <w:t>Cost of revenue</w:t>
            </w:r>
            <w:r>
              <w:rPr>
                <w:rFonts w:ascii="Arial" w:cs="Arial" w:eastAsia="Arial" w:hAnsi="Arial"/>
                <w:sz w:val="14"/>
                <w:szCs w:val="14"/>
                <w:color w:val="auto"/>
                <w:vertAlign w:val="superscript"/>
              </w:rPr>
              <w:t>(1)</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4,234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3,819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30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color w:val="auto"/>
              </w:rPr>
              <w:t>Gross profit</w:t>
            </w:r>
          </w:p>
        </w:tc>
        <w:tc>
          <w:tcPr>
            <w:tcW w:w="20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94,354</w:t>
            </w: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188,566</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80,422</w:t>
            </w: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135,628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0"/>
                <w:szCs w:val="10"/>
                <w:color w:val="auto"/>
              </w:rPr>
              <w:t>Operating expenses: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0"/>
                <w:szCs w:val="10"/>
                <w:color w:val="auto"/>
              </w:rPr>
              <w:t>Sales and marketing</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81,877</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154,125</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68,313</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104,604</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Product, technology, and development</w:t>
            </w: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8,235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11,453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5,150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8,357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0"/>
                <w:szCs w:val="10"/>
                <w:color w:val="auto"/>
              </w:rPr>
              <w:t>General and administrative</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5,801</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12,783</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5,618</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9,092</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969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1,196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30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color w:val="auto"/>
              </w:rPr>
              <w:t>Total operating expenses</w:t>
            </w:r>
          </w:p>
        </w:tc>
        <w:tc>
          <w:tcPr>
            <w:tcW w:w="200" w:type="dxa"/>
            <w:vAlign w:val="bottom"/>
            <w:tcBorders>
              <w:right w:val="single" w:sz="8" w:color="CCEEFF"/>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96,882</w:t>
            </w: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179,995</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79,714</w:t>
            </w: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123,249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300" w:type="dxa"/>
            <w:vAlign w:val="bottom"/>
            <w:gridSpan w:val="2"/>
          </w:tcPr>
          <w:p>
            <w:pPr>
              <w:spacing w:after="0"/>
              <w:rPr>
                <w:sz w:val="20"/>
                <w:szCs w:val="20"/>
                <w:color w:val="auto"/>
              </w:rPr>
            </w:pPr>
            <w:r>
              <w:rPr>
                <w:rFonts w:ascii="Arial" w:cs="Arial" w:eastAsia="Arial" w:hAnsi="Arial"/>
                <w:sz w:val="10"/>
                <w:szCs w:val="10"/>
                <w:color w:val="auto"/>
              </w:rPr>
              <w:t>(Loss) income from operations</w:t>
            </w:r>
          </w:p>
        </w:tc>
        <w:tc>
          <w:tcPr>
            <w:tcW w:w="2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(2,528)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8,571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(expense) income, net</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(12)</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374</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0"/>
                <w:szCs w:val="10"/>
                <w:color w:val="auto"/>
              </w:rPr>
              <w:t>(Loss) income before income taxes</w:t>
            </w: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2"/>
          </w:tcPr>
          <w:p>
            <w:pPr>
              <w:jc w:val="right"/>
              <w:ind w:right="40"/>
              <w:spacing w:after="0" w:line="97" w:lineRule="exact"/>
              <w:rPr>
                <w:sz w:val="20"/>
                <w:szCs w:val="20"/>
                <w:color w:val="auto"/>
              </w:rPr>
            </w:pPr>
            <w:r>
              <w:rPr>
                <w:rFonts w:ascii="Arial" w:cs="Arial" w:eastAsia="Arial" w:hAnsi="Arial"/>
                <w:sz w:val="10"/>
                <w:szCs w:val="10"/>
                <w:color w:val="auto"/>
              </w:rPr>
              <w:t>(2,540)</w:t>
            </w:r>
          </w:p>
        </w:tc>
        <w:tc>
          <w:tcPr>
            <w:tcW w:w="10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8,945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10"/>
                <w:szCs w:val="10"/>
                <w:color w:val="auto"/>
              </w:rPr>
              <w:t>861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12,596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(Benefit from) provision for income taxes</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(904)</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2,448</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0"/>
                <w:szCs w:val="10"/>
                <w:color w:val="auto"/>
              </w:rPr>
              <w:t>Net (loss) income</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(1,636)</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6,497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521</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8,553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Reconciliation of net (loss) income to net (loss) income attributable to common stockholders:</w:t>
            </w: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spacing w:after="0" w:line="108" w:lineRule="exact"/>
              <w:rPr>
                <w:sz w:val="20"/>
                <w:szCs w:val="20"/>
                <w:color w:val="auto"/>
              </w:rPr>
            </w:pPr>
            <w:r>
              <w:rPr>
                <w:rFonts w:ascii="Arial" w:cs="Arial" w:eastAsia="Arial" w:hAnsi="Arial"/>
                <w:sz w:val="10"/>
                <w:szCs w:val="10"/>
                <w:color w:val="auto"/>
              </w:rPr>
              <w:t>Net (loss) income</w:t>
            </w: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(1,636)</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6,497</w:t>
            </w:r>
          </w:p>
        </w:tc>
        <w:tc>
          <w:tcPr>
            <w:tcW w:w="8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521</w:t>
            </w:r>
          </w:p>
        </w:tc>
        <w:tc>
          <w:tcPr>
            <w:tcW w:w="6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8,553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0"/>
                <w:szCs w:val="10"/>
                <w:color w:val="auto"/>
              </w:rPr>
              <w:t>Deemed dividend to preferred stockholders</w:t>
            </w: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(15,930)</w:t>
            </w: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(32,087)</w:t>
            </w:r>
          </w:p>
        </w:tc>
        <w:tc>
          <w:tcPr>
            <w:tcW w:w="10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Net income attributable to participating securities</w:t>
            </w: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(293)</w:t>
            </w:r>
          </w:p>
        </w:tc>
        <w:tc>
          <w:tcPr>
            <w:tcW w:w="100" w:type="dxa"/>
            <w:vAlign w:val="bottom"/>
          </w:tcPr>
          <w:p>
            <w:pPr>
              <w:spacing w:after="0"/>
              <w:rPr>
                <w:sz w:val="9"/>
                <w:szCs w:val="9"/>
                <w:color w:val="auto"/>
              </w:rPr>
            </w:pPr>
          </w:p>
        </w:tc>
        <w:tc>
          <w:tcPr>
            <w:tcW w:w="6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(5,045)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30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color w:val="auto"/>
              </w:rPr>
              <w:t>Net (loss) income attributable to common stockholders — basic</w:t>
            </w:r>
          </w:p>
        </w:tc>
        <w:tc>
          <w:tcPr>
            <w:tcW w:w="2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(17,566)</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(25,590)</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228</w:t>
            </w: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3,508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0"/>
                <w:szCs w:val="10"/>
                <w:color w:val="auto"/>
              </w:rPr>
              <w:t>Net (loss) income</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(1,636)</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6,497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521</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8,553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0"/>
                <w:szCs w:val="10"/>
                <w:color w:val="auto"/>
              </w:rPr>
              <w:t>Deemed dividend to preferred stockholders</w:t>
            </w: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(15,930)</w:t>
            </w:r>
          </w:p>
        </w:tc>
        <w:tc>
          <w:tcPr>
            <w:tcW w:w="100" w:type="dxa"/>
            <w:vAlign w:val="bottom"/>
            <w:tcBorders>
              <w:right w:val="single" w:sz="8" w:color="CCEEFF"/>
            </w:tcBorders>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(32,087)</w:t>
            </w:r>
          </w:p>
        </w:tc>
        <w:tc>
          <w:tcPr>
            <w:tcW w:w="10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Net income attributable to participating securities</w:t>
            </w: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(285)</w:t>
            </w:r>
          </w:p>
        </w:tc>
        <w:tc>
          <w:tcPr>
            <w:tcW w:w="100" w:type="dxa"/>
            <w:vAlign w:val="bottom"/>
          </w:tcPr>
          <w:p>
            <w:pPr>
              <w:spacing w:after="0"/>
              <w:rPr>
                <w:sz w:val="9"/>
                <w:szCs w:val="9"/>
                <w:color w:val="auto"/>
              </w:rPr>
            </w:pPr>
          </w:p>
        </w:tc>
        <w:tc>
          <w:tcPr>
            <w:tcW w:w="6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(4,853)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300" w:type="dxa"/>
            <w:vAlign w:val="bottom"/>
            <w:gridSpan w:val="2"/>
            <w:shd w:val="clear" w:color="auto" w:fill="CCEEFF"/>
          </w:tcPr>
          <w:p>
            <w:pPr>
              <w:spacing w:after="0" w:line="97" w:lineRule="exact"/>
              <w:rPr>
                <w:sz w:val="20"/>
                <w:szCs w:val="20"/>
                <w:color w:val="auto"/>
              </w:rPr>
            </w:pPr>
            <w:r>
              <w:rPr>
                <w:rFonts w:ascii="Arial" w:cs="Arial" w:eastAsia="Arial" w:hAnsi="Arial"/>
                <w:sz w:val="10"/>
                <w:szCs w:val="10"/>
                <w:color w:val="auto"/>
              </w:rPr>
              <w:t>Net (loss) income attributable to common stockholders — diluted</w:t>
            </w:r>
          </w:p>
        </w:tc>
        <w:tc>
          <w:tcPr>
            <w:tcW w:w="2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(17,566)</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(25,590)</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236</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3,700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0"/>
                <w:szCs w:val="10"/>
                <w:color w:val="auto"/>
              </w:rPr>
              <w:t>Net (loss) income per share attributable to common stockholders: (Note 2)</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Basic</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(0.41)</w:t>
            </w: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(0.58)</w:t>
            </w: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0.01</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0.08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300" w:type="dxa"/>
            <w:vAlign w:val="bottom"/>
            <w:gridSpan w:val="2"/>
            <w:vMerge w:val="restart"/>
          </w:tcPr>
          <w:p>
            <w:pPr>
              <w:spacing w:after="0"/>
              <w:rPr>
                <w:sz w:val="20"/>
                <w:szCs w:val="20"/>
                <w:color w:val="auto"/>
              </w:rPr>
            </w:pPr>
            <w:r>
              <w:rPr>
                <w:rFonts w:ascii="Arial" w:cs="Arial" w:eastAsia="Arial" w:hAnsi="Arial"/>
                <w:sz w:val="10"/>
                <w:szCs w:val="10"/>
                <w:color w:val="auto"/>
              </w:rPr>
              <w:t>Diluted</w:t>
            </w: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6300" w:type="dxa"/>
            <w:vAlign w:val="bottom"/>
            <w:gridSpan w:val="2"/>
            <w:vMerge w:val="continue"/>
          </w:tcPr>
          <w:p>
            <w:pPr>
              <w:spacing w:after="0"/>
              <w:rPr>
                <w:sz w:val="10"/>
                <w:szCs w:val="10"/>
                <w:color w:val="auto"/>
              </w:rPr>
            </w:pPr>
          </w:p>
        </w:tc>
        <w:tc>
          <w:tcPr>
            <w:tcW w:w="2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(0.41)</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(0.58)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Weighted-average number of shares of common stock used in computing net (loss) income per share attributable to common stockholders:</w:t>
            </w: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spacing w:after="0" w:line="108" w:lineRule="exact"/>
              <w:rPr>
                <w:sz w:val="20"/>
                <w:szCs w:val="20"/>
                <w:color w:val="auto"/>
              </w:rPr>
            </w:pPr>
            <w:r>
              <w:rPr>
                <w:rFonts w:ascii="Arial" w:cs="Arial" w:eastAsia="Arial" w:hAnsi="Arial"/>
                <w:sz w:val="10"/>
                <w:szCs w:val="10"/>
                <w:color w:val="auto"/>
              </w:rPr>
              <w:t>Basic</w:t>
            </w:r>
          </w:p>
        </w:tc>
        <w:tc>
          <w:tcPr>
            <w:tcW w:w="2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w w:val="95"/>
              </w:rPr>
              <w:t>43,141,236</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44,138,922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w w:val="91"/>
              </w:rPr>
              <w:t>44,651,235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42,122,339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Diluted</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5"/>
              </w:rPr>
              <w:t>43,141,236</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44,138,922</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1"/>
              </w:rPr>
              <w:t>48,026,295</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46,182,359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0"/>
                <w:szCs w:val="10"/>
                <w:color w:val="auto"/>
              </w:rPr>
              <w:t>Pro forma net (loss) income per share attributable to common stockholders (unaudited): (Note 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Basic</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(0.24)</w:t>
            </w: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0.08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300" w:type="dxa"/>
            <w:vAlign w:val="bottom"/>
            <w:gridSpan w:val="2"/>
            <w:vMerge w:val="restart"/>
          </w:tcPr>
          <w:p>
            <w:pPr>
              <w:spacing w:after="0"/>
              <w:rPr>
                <w:sz w:val="20"/>
                <w:szCs w:val="20"/>
                <w:color w:val="auto"/>
              </w:rPr>
            </w:pPr>
            <w:r>
              <w:rPr>
                <w:rFonts w:ascii="Arial" w:cs="Arial" w:eastAsia="Arial" w:hAnsi="Arial"/>
                <w:sz w:val="10"/>
                <w:szCs w:val="10"/>
                <w:color w:val="auto"/>
              </w:rPr>
              <w:t>Diluted</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6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(0.24)</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7"/>
              </w:rPr>
              <w:t>Pro forma weighted-average number of shares of common stock used in computing pro forma net (loss) income per share attributable to common</w:t>
            </w:r>
          </w:p>
        </w:tc>
        <w:tc>
          <w:tcPr>
            <w:tcW w:w="20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3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stockholders (unaudited):</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spacing w:after="0" w:line="108" w:lineRule="exact"/>
              <w:rPr>
                <w:sz w:val="20"/>
                <w:szCs w:val="20"/>
                <w:color w:val="auto"/>
              </w:rPr>
            </w:pPr>
            <w:r>
              <w:rPr>
                <w:rFonts w:ascii="Arial" w:cs="Arial" w:eastAsia="Arial" w:hAnsi="Arial"/>
                <w:sz w:val="10"/>
                <w:szCs w:val="10"/>
                <w:color w:val="auto"/>
              </w:rPr>
              <w:t>Basic</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w w:val="93"/>
              </w:rPr>
              <w:t>104,703,600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w w:val="93"/>
              </w:rPr>
              <w:t>102,687,017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Diluted</w:t>
            </w:r>
          </w:p>
        </w:tc>
        <w:tc>
          <w:tcPr>
            <w:tcW w:w="2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3"/>
              </w:rPr>
              <w:t>104,703,600</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3"/>
              </w:rPr>
              <w:t>106,747,037</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940" w:type="dxa"/>
            <w:vAlign w:val="bottom"/>
            <w:tcBorders>
              <w:bottom w:val="single" w:sz="8" w:color="auto"/>
            </w:tcBorders>
          </w:tcPr>
          <w:p>
            <w:pPr>
              <w:spacing w:after="0"/>
              <w:rPr>
                <w:sz w:val="6"/>
                <w:szCs w:val="6"/>
                <w:color w:val="auto"/>
              </w:rPr>
            </w:pPr>
          </w:p>
        </w:tc>
        <w:tc>
          <w:tcPr>
            <w:tcW w:w="5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500" w:hanging="360"/>
        <w:spacing w:after="0"/>
        <w:tabs>
          <w:tab w:leader="none" w:pos="1500" w:val="left"/>
        </w:tabs>
        <w:numPr>
          <w:ilvl w:val="0"/>
          <w:numId w:val="102"/>
        </w:numPr>
        <w:rPr>
          <w:rFonts w:ascii="Arial" w:cs="Arial" w:eastAsia="Arial" w:hAnsi="Arial"/>
          <w:sz w:val="14"/>
          <w:szCs w:val="14"/>
          <w:color w:val="auto"/>
          <w:vertAlign w:val="superscript"/>
        </w:rPr>
      </w:pPr>
      <w:r>
        <w:rPr>
          <w:rFonts w:ascii="Arial" w:cs="Arial" w:eastAsia="Arial" w:hAnsi="Arial"/>
          <w:sz w:val="10"/>
          <w:szCs w:val="10"/>
          <w:color w:val="auto"/>
        </w:rPr>
        <w:t>Includes depreciation and amortization expense for the years ended December 31, 2015 and 2016 and for the six months ended June 30, 2016 and 2017 of $153, $438, $203 and $391, respectively.</w:t>
      </w:r>
    </w:p>
    <w:p>
      <w:pPr>
        <w:spacing w:after="0" w:line="325"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220" w:top="142" w:right="1339" w:bottom="1440" w:gutter="0" w:footer="0" w:header="0"/>
        </w:sectPr>
      </w:pPr>
    </w:p>
    <w:bookmarkStart w:id="175" w:name="page176"/>
    <w:bookmarkEnd w:id="17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3820" w:type="dxa"/>
            <w:vAlign w:val="bottom"/>
            <w:gridSpan w:val="2"/>
          </w:tcPr>
          <w:p>
            <w:pPr>
              <w:jc w:val="center"/>
              <w:ind w:left="161"/>
              <w:spacing w:after="0"/>
              <w:rPr>
                <w:sz w:val="20"/>
                <w:szCs w:val="20"/>
                <w:color w:val="auto"/>
              </w:rPr>
            </w:pPr>
            <w:r>
              <w:rPr>
                <w:rFonts w:ascii="Arial" w:cs="Arial" w:eastAsia="Arial" w:hAnsi="Arial"/>
                <w:sz w:val="12"/>
                <w:szCs w:val="12"/>
                <w:b w:val="1"/>
                <w:bCs w:val="1"/>
                <w:color w:val="auto"/>
                <w:w w:val="96"/>
              </w:rPr>
              <w:t>CarGurus, Inc.</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3820" w:type="dxa"/>
            <w:vAlign w:val="bottom"/>
            <w:gridSpan w:val="2"/>
          </w:tcPr>
          <w:p>
            <w:pPr>
              <w:jc w:val="center"/>
              <w:ind w:left="161"/>
              <w:spacing w:after="0"/>
              <w:rPr>
                <w:sz w:val="20"/>
                <w:szCs w:val="20"/>
                <w:color w:val="auto"/>
              </w:rPr>
            </w:pPr>
            <w:r>
              <w:rPr>
                <w:rFonts w:ascii="Arial" w:cs="Arial" w:eastAsia="Arial" w:hAnsi="Arial"/>
                <w:sz w:val="12"/>
                <w:szCs w:val="12"/>
                <w:b w:val="1"/>
                <w:bCs w:val="1"/>
                <w:color w:val="auto"/>
                <w:w w:val="97"/>
              </w:rPr>
              <w:t>Consolidated Statements of Comprehensive (Loss) Income</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3820" w:type="dxa"/>
            <w:vAlign w:val="bottom"/>
            <w:gridSpan w:val="2"/>
          </w:tcPr>
          <w:p>
            <w:pPr>
              <w:jc w:val="center"/>
              <w:ind w:left="161"/>
              <w:spacing w:after="0"/>
              <w:rPr>
                <w:sz w:val="20"/>
                <w:szCs w:val="20"/>
                <w:color w:val="auto"/>
              </w:rPr>
            </w:pPr>
            <w:r>
              <w:rPr>
                <w:rFonts w:ascii="Arial" w:cs="Arial" w:eastAsia="Arial" w:hAnsi="Arial"/>
                <w:sz w:val="12"/>
                <w:szCs w:val="12"/>
                <w:b w:val="1"/>
                <w:bCs w:val="1"/>
                <w:color w:val="auto"/>
                <w:w w:val="96"/>
              </w:rPr>
              <w:t>(in thousands)</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6"/>
          </w:tcPr>
          <w:p>
            <w:pPr>
              <w:jc w:val="right"/>
              <w:ind w:right="440"/>
              <w:spacing w:after="0"/>
              <w:rPr>
                <w:sz w:val="20"/>
                <w:szCs w:val="20"/>
                <w:color w:val="auto"/>
              </w:rPr>
            </w:pPr>
            <w:r>
              <w:rPr>
                <w:rFonts w:ascii="Arial" w:cs="Arial" w:eastAsia="Arial" w:hAnsi="Arial"/>
                <w:sz w:val="12"/>
                <w:szCs w:val="12"/>
                <w:color w:val="auto"/>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6"/>
          </w:tcPr>
          <w:p>
            <w:pPr>
              <w:ind w:left="280"/>
              <w:spacing w:after="0"/>
              <w:rPr>
                <w:sz w:val="20"/>
                <w:szCs w:val="20"/>
                <w:color w:val="auto"/>
              </w:rPr>
            </w:pPr>
            <w:r>
              <w:rPr>
                <w:rFonts w:ascii="Arial" w:cs="Arial" w:eastAsia="Arial" w:hAnsi="Arial"/>
                <w:sz w:val="12"/>
                <w:szCs w:val="12"/>
                <w:color w:val="auto"/>
              </w:rPr>
              <w:t>Six Months</w:t>
            </w: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6"/>
          </w:tcPr>
          <w:p>
            <w:pPr>
              <w:ind w:left="120"/>
              <w:spacing w:after="0"/>
              <w:rPr>
                <w:sz w:val="20"/>
                <w:szCs w:val="20"/>
                <w:color w:val="auto"/>
              </w:rPr>
            </w:pPr>
            <w:r>
              <w:rPr>
                <w:rFonts w:ascii="Arial" w:cs="Arial" w:eastAsia="Arial" w:hAnsi="Arial"/>
                <w:sz w:val="12"/>
                <w:szCs w:val="12"/>
                <w:color w:val="auto"/>
              </w:rPr>
              <w:t>Ended June 30,</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2015</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2016</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ind w:left="38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 income</w:t>
            </w:r>
          </w:p>
        </w:tc>
        <w:tc>
          <w:tcPr>
            <w:tcW w:w="3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(1,636)</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6,497</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521</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line="135" w:lineRule="exact"/>
              <w:rPr>
                <w:sz w:val="20"/>
                <w:szCs w:val="20"/>
                <w:color w:val="auto"/>
              </w:rPr>
            </w:pPr>
            <w:r>
              <w:rPr>
                <w:rFonts w:ascii="Arial" w:cs="Arial" w:eastAsia="Arial" w:hAnsi="Arial"/>
                <w:sz w:val="12"/>
                <w:szCs w:val="12"/>
                <w:color w:val="auto"/>
              </w:rPr>
              <w:t>Other comprehensive (loss) income:</w:t>
            </w: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Foreign currency translation adjustment</w:t>
            </w:r>
          </w:p>
        </w:tc>
        <w:tc>
          <w:tcPr>
            <w:tcW w:w="3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2"/>
                <w:szCs w:val="12"/>
                <w:color w:val="auto"/>
              </w:rPr>
              <w:t>Comprehensive (loss) income</w:t>
            </w: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60" w:type="dxa"/>
            <w:vAlign w:val="bottom"/>
            <w:vMerge w:val="continue"/>
          </w:tcPr>
          <w:p>
            <w:pPr>
              <w:spacing w:after="0"/>
              <w:rPr>
                <w:sz w:val="10"/>
                <w:szCs w:val="10"/>
                <w:color w:val="auto"/>
              </w:rPr>
            </w:pPr>
          </w:p>
        </w:tc>
        <w:tc>
          <w:tcPr>
            <w:tcW w:w="382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(1,636)</w:t>
            </w: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6,467</w:t>
            </w:r>
          </w:p>
        </w:tc>
        <w:tc>
          <w:tcPr>
            <w:tcW w:w="80" w:type="dxa"/>
            <w:vAlign w:val="bottom"/>
          </w:tcPr>
          <w:p>
            <w:pPr>
              <w:spacing w:after="0"/>
              <w:rPr>
                <w:sz w:val="10"/>
                <w:szCs w:val="10"/>
                <w:color w:val="auto"/>
              </w:rPr>
            </w:pP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502</w:t>
            </w:r>
          </w:p>
        </w:tc>
        <w:tc>
          <w:tcPr>
            <w:tcW w:w="60" w:type="dxa"/>
            <w:vAlign w:val="bottom"/>
          </w:tcPr>
          <w:p>
            <w:pPr>
              <w:spacing w:after="0"/>
              <w:rPr>
                <w:sz w:val="10"/>
                <w:szCs w:val="10"/>
                <w:color w:val="auto"/>
              </w:rPr>
            </w:pP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8,710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220" w:top="141" w:right="1339" w:bottom="1440" w:gutter="0" w:footer="0" w:header="0"/>
        </w:sectPr>
      </w:pPr>
    </w:p>
    <w:bookmarkStart w:id="176" w:name="page177"/>
    <w:bookmarkEnd w:id="17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Consolidated Statements of Convertible Preferred Stock and Stockholders' Equity (Deficit)</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(in thousands, except share data)</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900" w:type="dxa"/>
            <w:vAlign w:val="bottom"/>
            <w:gridSpan w:val="4"/>
            <w:vMerge w:val="restart"/>
          </w:tcPr>
          <w:p>
            <w:pPr>
              <w:ind w:left="260"/>
              <w:spacing w:after="0"/>
              <w:rPr>
                <w:sz w:val="20"/>
                <w:szCs w:val="20"/>
                <w:color w:val="auto"/>
              </w:rPr>
            </w:pPr>
            <w:r>
              <w:rPr>
                <w:rFonts w:ascii="Arial" w:cs="Arial" w:eastAsia="Arial" w:hAnsi="Arial"/>
                <w:sz w:val="10"/>
                <w:szCs w:val="10"/>
                <w:color w:val="auto"/>
              </w:rPr>
              <w:t>Series A</w:t>
            </w:r>
          </w:p>
        </w:tc>
        <w:tc>
          <w:tcPr>
            <w:tcW w:w="900" w:type="dxa"/>
            <w:vAlign w:val="bottom"/>
            <w:gridSpan w:val="4"/>
            <w:vMerge w:val="restart"/>
          </w:tcPr>
          <w:p>
            <w:pPr>
              <w:ind w:left="240"/>
              <w:spacing w:after="0"/>
              <w:rPr>
                <w:sz w:val="20"/>
                <w:szCs w:val="20"/>
                <w:color w:val="auto"/>
              </w:rPr>
            </w:pPr>
            <w:r>
              <w:rPr>
                <w:rFonts w:ascii="Arial" w:cs="Arial" w:eastAsia="Arial" w:hAnsi="Arial"/>
                <w:sz w:val="10"/>
                <w:szCs w:val="10"/>
                <w:color w:val="auto"/>
              </w:rPr>
              <w:t>Series B</w:t>
            </w:r>
          </w:p>
        </w:tc>
        <w:tc>
          <w:tcPr>
            <w:tcW w:w="880" w:type="dxa"/>
            <w:vAlign w:val="bottom"/>
            <w:gridSpan w:val="4"/>
            <w:vMerge w:val="restart"/>
          </w:tcPr>
          <w:p>
            <w:pPr>
              <w:jc w:val="right"/>
              <w:ind w:right="280"/>
              <w:spacing w:after="0"/>
              <w:rPr>
                <w:sz w:val="20"/>
                <w:szCs w:val="20"/>
                <w:color w:val="auto"/>
              </w:rPr>
            </w:pPr>
            <w:r>
              <w:rPr>
                <w:rFonts w:ascii="Arial" w:cs="Arial" w:eastAsia="Arial" w:hAnsi="Arial"/>
                <w:sz w:val="10"/>
                <w:szCs w:val="10"/>
                <w:color w:val="auto"/>
              </w:rPr>
              <w:t>Series C</w:t>
            </w:r>
          </w:p>
        </w:tc>
        <w:tc>
          <w:tcPr>
            <w:tcW w:w="920" w:type="dxa"/>
            <w:vAlign w:val="bottom"/>
            <w:gridSpan w:val="3"/>
            <w:vMerge w:val="restart"/>
          </w:tcPr>
          <w:p>
            <w:pPr>
              <w:jc w:val="right"/>
              <w:ind w:right="232"/>
              <w:spacing w:after="0"/>
              <w:rPr>
                <w:sz w:val="20"/>
                <w:szCs w:val="20"/>
                <w:color w:val="auto"/>
              </w:rPr>
            </w:pPr>
            <w:r>
              <w:rPr>
                <w:rFonts w:ascii="Arial" w:cs="Arial" w:eastAsia="Arial" w:hAnsi="Arial"/>
                <w:sz w:val="10"/>
                <w:szCs w:val="10"/>
                <w:color w:val="auto"/>
              </w:rPr>
              <w:t>Series D</w:t>
            </w:r>
          </w:p>
        </w:tc>
        <w:tc>
          <w:tcPr>
            <w:tcW w:w="20" w:type="dxa"/>
            <w:vAlign w:val="bottom"/>
          </w:tcPr>
          <w:p>
            <w:pPr>
              <w:spacing w:after="0"/>
              <w:rPr>
                <w:sz w:val="10"/>
                <w:szCs w:val="10"/>
                <w:color w:val="auto"/>
              </w:rPr>
            </w:pPr>
          </w:p>
        </w:tc>
        <w:tc>
          <w:tcPr>
            <w:tcW w:w="1020" w:type="dxa"/>
            <w:vAlign w:val="bottom"/>
            <w:tcBorders>
              <w:right w:val="single" w:sz="8" w:color="auto"/>
            </w:tcBorders>
            <w:gridSpan w:val="4"/>
            <w:vMerge w:val="restart"/>
          </w:tcPr>
          <w:p>
            <w:pPr>
              <w:jc w:val="right"/>
              <w:ind w:right="380"/>
              <w:spacing w:after="0"/>
              <w:rPr>
                <w:sz w:val="20"/>
                <w:szCs w:val="20"/>
                <w:color w:val="auto"/>
              </w:rPr>
            </w:pPr>
            <w:r>
              <w:rPr>
                <w:rFonts w:ascii="Arial" w:cs="Arial" w:eastAsia="Arial" w:hAnsi="Arial"/>
                <w:sz w:val="10"/>
                <w:szCs w:val="10"/>
                <w:color w:val="auto"/>
              </w:rPr>
              <w:t>Series 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vMerge w:val="restart"/>
          </w:tcPr>
          <w:p>
            <w:pPr>
              <w:jc w:val="right"/>
              <w:ind w:right="92"/>
              <w:spacing w:after="0"/>
              <w:rPr>
                <w:sz w:val="20"/>
                <w:szCs w:val="20"/>
                <w:color w:val="auto"/>
              </w:rPr>
            </w:pPr>
            <w:r>
              <w:rPr>
                <w:rFonts w:ascii="Arial" w:cs="Arial" w:eastAsia="Arial" w:hAnsi="Arial"/>
                <w:sz w:val="10"/>
                <w:szCs w:val="10"/>
                <w:color w:val="auto"/>
              </w:rPr>
              <w:t>Class A</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vMerge w:val="restart"/>
          </w:tcPr>
          <w:p>
            <w:pPr>
              <w:jc w:val="right"/>
              <w:ind w:right="92"/>
              <w:spacing w:after="0"/>
              <w:rPr>
                <w:sz w:val="20"/>
                <w:szCs w:val="20"/>
                <w:color w:val="auto"/>
              </w:rPr>
            </w:pPr>
            <w:r>
              <w:rPr>
                <w:rFonts w:ascii="Arial" w:cs="Arial" w:eastAsia="Arial" w:hAnsi="Arial"/>
                <w:sz w:val="10"/>
                <w:szCs w:val="10"/>
                <w:color w:val="auto"/>
              </w:rPr>
              <w:t>Class B</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0"/>
                <w:szCs w:val="10"/>
                <w:color w:val="auto"/>
                <w:w w:val="96"/>
              </w:rPr>
              <w:t>Accumulated</w:t>
            </w:r>
          </w:p>
        </w:tc>
        <w:tc>
          <w:tcPr>
            <w:tcW w:w="60" w:type="dxa"/>
            <w:vAlign w:val="bottom"/>
          </w:tcPr>
          <w:p>
            <w:pPr>
              <w:spacing w:after="0"/>
              <w:rPr>
                <w:sz w:val="10"/>
                <w:szCs w:val="10"/>
                <w:color w:val="auto"/>
              </w:rPr>
            </w:pP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Retained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96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Borders>
              <w:right w:val="single" w:sz="8" w:color="auto"/>
            </w:tcBorders>
            <w:gridSpan w:val="4"/>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vMerge w:val="restart"/>
          </w:tcPr>
          <w:p>
            <w:pPr>
              <w:spacing w:after="0" w:line="108" w:lineRule="exact"/>
              <w:rPr>
                <w:sz w:val="20"/>
                <w:szCs w:val="20"/>
                <w:color w:val="auto"/>
              </w:rPr>
            </w:pPr>
            <w:r>
              <w:rPr>
                <w:rFonts w:ascii="Arial" w:cs="Arial" w:eastAsia="Arial" w:hAnsi="Arial"/>
                <w:sz w:val="10"/>
                <w:szCs w:val="10"/>
                <w:color w:val="auto"/>
                <w:w w:val="90"/>
              </w:rPr>
              <w:t>Additional</w:t>
            </w:r>
          </w:p>
        </w:tc>
        <w:tc>
          <w:tcPr>
            <w:tcW w:w="80" w:type="dxa"/>
            <w:vAlign w:val="bottom"/>
          </w:tcPr>
          <w:p>
            <w:pPr>
              <w:spacing w:after="0"/>
              <w:rPr>
                <w:sz w:val="3"/>
                <w:szCs w:val="3"/>
                <w:color w:val="auto"/>
              </w:rPr>
            </w:pPr>
          </w:p>
        </w:tc>
        <w:tc>
          <w:tcPr>
            <w:tcW w:w="720" w:type="dxa"/>
            <w:vAlign w:val="bottom"/>
            <w:gridSpan w:val="2"/>
            <w:vMerge w:val="restart"/>
          </w:tcPr>
          <w:p>
            <w:pPr>
              <w:jc w:val="center"/>
              <w:ind w:right="40"/>
              <w:spacing w:after="0" w:line="108" w:lineRule="exact"/>
              <w:rPr>
                <w:sz w:val="20"/>
                <w:szCs w:val="20"/>
                <w:color w:val="auto"/>
              </w:rPr>
            </w:pPr>
            <w:r>
              <w:rPr>
                <w:rFonts w:ascii="Arial" w:cs="Arial" w:eastAsia="Arial" w:hAnsi="Arial"/>
                <w:sz w:val="10"/>
                <w:szCs w:val="10"/>
                <w:color w:val="auto"/>
                <w:w w:val="95"/>
              </w:rPr>
              <w:t>Other</w:t>
            </w:r>
          </w:p>
        </w:tc>
        <w:tc>
          <w:tcPr>
            <w:tcW w:w="60" w:type="dxa"/>
            <w:vAlign w:val="bottom"/>
          </w:tcPr>
          <w:p>
            <w:pPr>
              <w:spacing w:after="0"/>
              <w:rPr>
                <w:sz w:val="3"/>
                <w:szCs w:val="3"/>
                <w:color w:val="auto"/>
              </w:rPr>
            </w:pPr>
          </w:p>
        </w:tc>
        <w:tc>
          <w:tcPr>
            <w:tcW w:w="620" w:type="dxa"/>
            <w:vAlign w:val="bottom"/>
            <w:gridSpan w:val="2"/>
            <w:vMerge w:val="restart"/>
          </w:tcPr>
          <w:p>
            <w:pPr>
              <w:ind w:left="100"/>
              <w:spacing w:after="0" w:line="108" w:lineRule="exact"/>
              <w:rPr>
                <w:sz w:val="20"/>
                <w:szCs w:val="20"/>
                <w:color w:val="auto"/>
              </w:rPr>
            </w:pPr>
            <w:r>
              <w:rPr>
                <w:rFonts w:ascii="Arial" w:cs="Arial" w:eastAsia="Arial" w:hAnsi="Arial"/>
                <w:sz w:val="10"/>
                <w:szCs w:val="10"/>
                <w:color w:val="auto"/>
              </w:rPr>
              <w:t>Earnings</w:t>
            </w: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960" w:type="dxa"/>
            <w:vAlign w:val="bottom"/>
          </w:tcPr>
          <w:p>
            <w:pPr>
              <w:spacing w:after="0"/>
              <w:rPr>
                <w:sz w:val="5"/>
                <w:szCs w:val="5"/>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0"/>
                <w:szCs w:val="10"/>
                <w:color w:val="auto"/>
              </w:rPr>
              <w:t>Preferred Stock</w:t>
            </w:r>
          </w:p>
        </w:tc>
        <w:tc>
          <w:tcPr>
            <w:tcW w:w="40" w:type="dxa"/>
            <w:vAlign w:val="bottom"/>
            <w:vMerge w:val="restart"/>
          </w:tcPr>
          <w:p>
            <w:pPr>
              <w:spacing w:after="0"/>
              <w:rPr>
                <w:sz w:val="5"/>
                <w:szCs w:val="5"/>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0"/>
                <w:szCs w:val="10"/>
                <w:color w:val="auto"/>
              </w:rPr>
              <w:t>Preferred Stock</w:t>
            </w:r>
          </w:p>
        </w:tc>
        <w:tc>
          <w:tcPr>
            <w:tcW w:w="40" w:type="dxa"/>
            <w:vAlign w:val="bottom"/>
            <w:vMerge w:val="restart"/>
          </w:tcPr>
          <w:p>
            <w:pPr>
              <w:spacing w:after="0"/>
              <w:rPr>
                <w:sz w:val="5"/>
                <w:szCs w:val="5"/>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0"/>
                <w:szCs w:val="10"/>
                <w:color w:val="auto"/>
              </w:rPr>
              <w:t>Preferred Stock</w:t>
            </w:r>
          </w:p>
        </w:tc>
        <w:tc>
          <w:tcPr>
            <w:tcW w:w="40" w:type="dxa"/>
            <w:vAlign w:val="bottom"/>
            <w:vMerge w:val="restart"/>
          </w:tcPr>
          <w:p>
            <w:pPr>
              <w:spacing w:after="0"/>
              <w:rPr>
                <w:sz w:val="5"/>
                <w:szCs w:val="5"/>
                <w:color w:val="auto"/>
              </w:rPr>
            </w:pPr>
          </w:p>
        </w:tc>
        <w:tc>
          <w:tcPr>
            <w:tcW w:w="920" w:type="dxa"/>
            <w:vAlign w:val="bottom"/>
            <w:gridSpan w:val="3"/>
            <w:vMerge w:val="restart"/>
          </w:tcPr>
          <w:p>
            <w:pPr>
              <w:jc w:val="right"/>
              <w:ind w:right="112"/>
              <w:spacing w:after="0"/>
              <w:rPr>
                <w:sz w:val="20"/>
                <w:szCs w:val="20"/>
                <w:color w:val="auto"/>
              </w:rPr>
            </w:pPr>
            <w:r>
              <w:rPr>
                <w:rFonts w:ascii="Arial" w:cs="Arial" w:eastAsia="Arial" w:hAnsi="Arial"/>
                <w:sz w:val="10"/>
                <w:szCs w:val="10"/>
                <w:color w:val="auto"/>
              </w:rPr>
              <w:t>Preferred Stock</w:t>
            </w:r>
          </w:p>
        </w:tc>
        <w:tc>
          <w:tcPr>
            <w:tcW w:w="20" w:type="dxa"/>
            <w:vAlign w:val="bottom"/>
          </w:tcPr>
          <w:p>
            <w:pPr>
              <w:spacing w:after="0"/>
              <w:rPr>
                <w:sz w:val="5"/>
                <w:szCs w:val="5"/>
                <w:color w:val="auto"/>
              </w:rPr>
            </w:pPr>
          </w:p>
        </w:tc>
        <w:tc>
          <w:tcPr>
            <w:tcW w:w="920" w:type="dxa"/>
            <w:vAlign w:val="bottom"/>
            <w:gridSpan w:val="3"/>
            <w:vMerge w:val="restart"/>
          </w:tcPr>
          <w:p>
            <w:pPr>
              <w:jc w:val="right"/>
              <w:ind w:right="112"/>
              <w:spacing w:after="0"/>
              <w:rPr>
                <w:sz w:val="20"/>
                <w:szCs w:val="20"/>
                <w:color w:val="auto"/>
              </w:rPr>
            </w:pPr>
            <w:r>
              <w:rPr>
                <w:rFonts w:ascii="Arial" w:cs="Arial" w:eastAsia="Arial" w:hAnsi="Arial"/>
                <w:sz w:val="10"/>
                <w:szCs w:val="10"/>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920" w:type="dxa"/>
            <w:vAlign w:val="bottom"/>
            <w:gridSpan w:val="4"/>
            <w:vMerge w:val="restart"/>
          </w:tcPr>
          <w:p>
            <w:pPr>
              <w:jc w:val="right"/>
              <w:ind w:right="152"/>
              <w:spacing w:after="0"/>
              <w:rPr>
                <w:sz w:val="20"/>
                <w:szCs w:val="20"/>
                <w:color w:val="auto"/>
              </w:rPr>
            </w:pPr>
            <w:r>
              <w:rPr>
                <w:rFonts w:ascii="Arial" w:cs="Arial" w:eastAsia="Arial" w:hAnsi="Arial"/>
                <w:sz w:val="10"/>
                <w:szCs w:val="10"/>
                <w:color w:val="auto"/>
              </w:rPr>
              <w:t>Member Units</w:t>
            </w:r>
          </w:p>
        </w:tc>
        <w:tc>
          <w:tcPr>
            <w:tcW w:w="40" w:type="dxa"/>
            <w:vAlign w:val="bottom"/>
          </w:tcPr>
          <w:p>
            <w:pPr>
              <w:spacing w:after="0"/>
              <w:rPr>
                <w:sz w:val="5"/>
                <w:szCs w:val="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0"/>
                <w:szCs w:val="10"/>
                <w:color w:val="auto"/>
              </w:rPr>
              <w:t>Common Stock</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0"/>
                <w:szCs w:val="10"/>
                <w:color w:val="auto"/>
              </w:rPr>
              <w:t>Common Stock</w:t>
            </w: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960" w:type="dxa"/>
            <w:vAlign w:val="bottom"/>
          </w:tcPr>
          <w:p>
            <w:pPr>
              <w:spacing w:after="0"/>
              <w:rPr>
                <w:sz w:val="7"/>
                <w:szCs w:val="7"/>
                <w:color w:val="auto"/>
              </w:rPr>
            </w:pPr>
          </w:p>
        </w:tc>
        <w:tc>
          <w:tcPr>
            <w:tcW w:w="86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6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920" w:type="dxa"/>
            <w:vAlign w:val="bottom"/>
            <w:tcBorders>
              <w:bottom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auto"/>
            </w:tcBorders>
            <w:gridSpan w:val="3"/>
            <w:vMerge w:val="continue"/>
          </w:tcPr>
          <w:p>
            <w:pPr>
              <w:spacing w:after="0"/>
              <w:rPr>
                <w:sz w:val="7"/>
                <w:szCs w:val="7"/>
                <w:color w:val="auto"/>
              </w:rPr>
            </w:pPr>
          </w:p>
        </w:tc>
        <w:tc>
          <w:tcPr>
            <w:tcW w:w="100" w:type="dxa"/>
            <w:vAlign w:val="bottom"/>
            <w:tcBorders>
              <w:right w:val="single" w:sz="8" w:color="auto"/>
            </w:tcBorders>
            <w:vMerge w:val="continue"/>
          </w:tcPr>
          <w:p>
            <w:pPr>
              <w:spacing w:after="0"/>
              <w:rPr>
                <w:sz w:val="7"/>
                <w:szCs w:val="7"/>
                <w:color w:val="auto"/>
              </w:rPr>
            </w:pPr>
          </w:p>
        </w:tc>
        <w:tc>
          <w:tcPr>
            <w:tcW w:w="920" w:type="dxa"/>
            <w:vAlign w:val="bottom"/>
            <w:tcBorders>
              <w:bottom w:val="single" w:sz="8" w:color="auto"/>
            </w:tcBorders>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ind w:right="12"/>
              <w:spacing w:after="0" w:line="67" w:lineRule="exact"/>
              <w:rPr>
                <w:sz w:val="20"/>
                <w:szCs w:val="20"/>
                <w:color w:val="auto"/>
              </w:rPr>
            </w:pPr>
            <w:r>
              <w:rPr>
                <w:rFonts w:ascii="Arial" w:cs="Arial" w:eastAsia="Arial" w:hAnsi="Arial"/>
                <w:sz w:val="7"/>
                <w:szCs w:val="7"/>
                <w:color w:val="auto"/>
              </w:rPr>
              <w:t>Paid-in</w:t>
            </w:r>
          </w:p>
        </w:tc>
        <w:tc>
          <w:tcPr>
            <w:tcW w:w="80" w:type="dxa"/>
            <w:vAlign w:val="bottom"/>
          </w:tcPr>
          <w:p>
            <w:pPr>
              <w:spacing w:after="0"/>
              <w:rPr>
                <w:sz w:val="7"/>
                <w:szCs w:val="7"/>
                <w:color w:val="auto"/>
              </w:rPr>
            </w:pPr>
          </w:p>
        </w:tc>
        <w:tc>
          <w:tcPr>
            <w:tcW w:w="720" w:type="dxa"/>
            <w:vAlign w:val="bottom"/>
            <w:gridSpan w:val="2"/>
          </w:tcPr>
          <w:p>
            <w:pPr>
              <w:jc w:val="center"/>
              <w:ind w:right="40"/>
              <w:spacing w:after="0" w:line="67" w:lineRule="exact"/>
              <w:rPr>
                <w:sz w:val="20"/>
                <w:szCs w:val="20"/>
                <w:color w:val="auto"/>
              </w:rPr>
            </w:pPr>
            <w:r>
              <w:rPr>
                <w:rFonts w:ascii="Arial" w:cs="Arial" w:eastAsia="Arial" w:hAnsi="Arial"/>
                <w:sz w:val="7"/>
                <w:szCs w:val="7"/>
                <w:color w:val="auto"/>
              </w:rPr>
              <w:t>Comprehensive</w:t>
            </w:r>
          </w:p>
        </w:tc>
        <w:tc>
          <w:tcPr>
            <w:tcW w:w="60" w:type="dxa"/>
            <w:vAlign w:val="bottom"/>
          </w:tcPr>
          <w:p>
            <w:pPr>
              <w:spacing w:after="0"/>
              <w:rPr>
                <w:sz w:val="7"/>
                <w:szCs w:val="7"/>
                <w:color w:val="auto"/>
              </w:rPr>
            </w:pPr>
          </w:p>
        </w:tc>
        <w:tc>
          <w:tcPr>
            <w:tcW w:w="620" w:type="dxa"/>
            <w:vAlign w:val="bottom"/>
            <w:gridSpan w:val="2"/>
          </w:tcPr>
          <w:p>
            <w:pPr>
              <w:jc w:val="right"/>
              <w:ind w:right="40"/>
              <w:spacing w:after="0" w:line="67" w:lineRule="exact"/>
              <w:rPr>
                <w:sz w:val="20"/>
                <w:szCs w:val="20"/>
                <w:color w:val="auto"/>
              </w:rPr>
            </w:pPr>
            <w:r>
              <w:rPr>
                <w:rFonts w:ascii="Arial" w:cs="Arial" w:eastAsia="Arial" w:hAnsi="Arial"/>
                <w:sz w:val="7"/>
                <w:szCs w:val="7"/>
                <w:color w:val="auto"/>
              </w:rPr>
              <w:t>(Accumulated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0"/>
                <w:szCs w:val="10"/>
                <w:color w:val="auto"/>
                <w:w w:val="98"/>
              </w:rPr>
              <w:t>Amount</w:t>
            </w:r>
          </w:p>
        </w:tc>
        <w:tc>
          <w:tcPr>
            <w:tcW w:w="480" w:type="dxa"/>
            <w:vAlign w:val="bottom"/>
          </w:tcPr>
          <w:p>
            <w:pPr>
              <w:spacing w:after="0"/>
              <w:rPr>
                <w:sz w:val="10"/>
                <w:szCs w:val="1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0"/>
                <w:szCs w:val="10"/>
                <w:color w:val="auto"/>
              </w:rPr>
              <w:t>Amount</w:t>
            </w:r>
          </w:p>
        </w:tc>
        <w:tc>
          <w:tcPr>
            <w:tcW w:w="480" w:type="dxa"/>
            <w:vAlign w:val="bottom"/>
          </w:tcPr>
          <w:p>
            <w:pPr>
              <w:spacing w:after="0"/>
              <w:rPr>
                <w:sz w:val="10"/>
                <w:szCs w:val="10"/>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0"/>
                <w:szCs w:val="10"/>
                <w:color w:val="auto"/>
                <w:w w:val="98"/>
              </w:rPr>
              <w:t>Amount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81"/>
              </w:rPr>
              <w:t>Amount</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81"/>
              </w:rPr>
              <w:t>Amount</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color w:val="auto"/>
                <w:w w:val="92"/>
              </w:rPr>
              <w:t>Amount</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0"/>
                <w:szCs w:val="10"/>
                <w:color w:val="auto"/>
                <w:w w:val="92"/>
              </w:rPr>
              <w:t>Amount</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0"/>
                <w:szCs w:val="10"/>
                <w:color w:val="auto"/>
                <w:w w:val="86"/>
              </w:rPr>
              <w:t>Amount</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color w:val="auto"/>
              </w:rPr>
              <w:t>Shares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color w:val="auto"/>
              </w:rPr>
              <w:t>Shares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ind w:left="40"/>
              <w:spacing w:after="0"/>
              <w:rPr>
                <w:sz w:val="20"/>
                <w:szCs w:val="20"/>
                <w:color w:val="auto"/>
              </w:rPr>
            </w:pPr>
            <w:r>
              <w:rPr>
                <w:rFonts w:ascii="Arial" w:cs="Arial" w:eastAsia="Arial" w:hAnsi="Arial"/>
                <w:sz w:val="10"/>
                <w:szCs w:val="10"/>
                <w:color w:val="auto"/>
              </w:rPr>
              <w:t>Shares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Shares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Shares</w:t>
            </w:r>
          </w:p>
        </w:tc>
        <w:tc>
          <w:tcPr>
            <w:tcW w:w="3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Shares</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Shares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Shares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0"/>
                <w:szCs w:val="10"/>
                <w:color w:val="auto"/>
              </w:rPr>
              <w:t>Capital</w:t>
            </w: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0"/>
                <w:szCs w:val="10"/>
                <w:color w:val="auto"/>
              </w:rPr>
              <w:t>Loss</w:t>
            </w:r>
          </w:p>
        </w:tc>
        <w:tc>
          <w:tcPr>
            <w:tcW w:w="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Deficit)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60"/>
              <w:spacing w:after="0" w:line="105" w:lineRule="exact"/>
              <w:rPr>
                <w:sz w:val="20"/>
                <w:szCs w:val="20"/>
                <w:color w:val="auto"/>
              </w:rPr>
            </w:pPr>
            <w:r>
              <w:rPr>
                <w:rFonts w:ascii="Arial" w:cs="Arial" w:eastAsia="Arial" w:hAnsi="Arial"/>
                <w:sz w:val="10"/>
                <w:szCs w:val="10"/>
                <w:color w:val="auto"/>
              </w:rPr>
              <w:t>December 31, 2014</w:t>
            </w:r>
          </w:p>
        </w:tc>
        <w:tc>
          <w:tcPr>
            <w:tcW w:w="58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14,764,149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5,864</w:t>
            </w:r>
          </w:p>
        </w:tc>
        <w:tc>
          <w:tcPr>
            <w:tcW w:w="40" w:type="dxa"/>
            <w:vAlign w:val="bottom"/>
            <w:shd w:val="clear" w:color="auto" w:fill="CCEEFF"/>
          </w:tcPr>
          <w:p>
            <w:pPr>
              <w:spacing w:after="0"/>
              <w:rPr>
                <w:sz w:val="9"/>
                <w:szCs w:val="9"/>
                <w:color w:val="auto"/>
              </w:rPr>
            </w:pPr>
          </w:p>
        </w:tc>
        <w:tc>
          <w:tcPr>
            <w:tcW w:w="740" w:type="dxa"/>
            <w:vAlign w:val="bottom"/>
            <w:gridSpan w:val="3"/>
            <w:shd w:val="clear" w:color="auto" w:fill="CCEEFF"/>
          </w:tcPr>
          <w:p>
            <w:pPr>
              <w:jc w:val="right"/>
              <w:ind w:right="92"/>
              <w:spacing w:after="0" w:line="105" w:lineRule="exact"/>
              <w:rPr>
                <w:sz w:val="20"/>
                <w:szCs w:val="20"/>
                <w:color w:val="auto"/>
              </w:rPr>
            </w:pPr>
            <w:r>
              <w:rPr>
                <w:rFonts w:ascii="Arial" w:cs="Arial" w:eastAsia="Arial" w:hAnsi="Arial"/>
                <w:sz w:val="10"/>
                <w:szCs w:val="10"/>
                <w:color w:val="auto"/>
              </w:rPr>
              <w:t>— $</w:t>
            </w: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740" w:type="dxa"/>
            <w:vAlign w:val="bottom"/>
            <w:gridSpan w:val="3"/>
            <w:shd w:val="clear" w:color="auto" w:fill="CCEEFF"/>
          </w:tcPr>
          <w:p>
            <w:pPr>
              <w:jc w:val="right"/>
              <w:ind w:right="92"/>
              <w:spacing w:after="0" w:line="105" w:lineRule="exact"/>
              <w:rPr>
                <w:sz w:val="20"/>
                <w:szCs w:val="20"/>
                <w:color w:val="auto"/>
              </w:rPr>
            </w:pPr>
            <w:r>
              <w:rPr>
                <w:rFonts w:ascii="Arial" w:cs="Arial" w:eastAsia="Arial" w:hAnsi="Arial"/>
                <w:sz w:val="10"/>
                <w:szCs w:val="10"/>
                <w:color w:val="auto"/>
              </w:rPr>
              <w:t>— $</w:t>
            </w:r>
          </w:p>
        </w:tc>
        <w:tc>
          <w:tcPr>
            <w:tcW w:w="220" w:type="dxa"/>
            <w:vAlign w:val="bottom"/>
            <w:tcBorders>
              <w:right w:val="single" w:sz="8" w:color="CCEEFF"/>
            </w:tcBorders>
            <w:gridSpan w:val="3"/>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175</w:t>
            </w:r>
          </w:p>
        </w:tc>
        <w:tc>
          <w:tcPr>
            <w:tcW w:w="80" w:type="dxa"/>
            <w:vAlign w:val="bottom"/>
            <w:tcBorders>
              <w:right w:val="single" w:sz="8" w:color="CCEEFF"/>
            </w:tcBorders>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780" w:type="dxa"/>
            <w:vAlign w:val="bottom"/>
            <w:gridSpan w:val="3"/>
            <w:shd w:val="clear" w:color="auto" w:fill="CCEEFF"/>
          </w:tcPr>
          <w:p>
            <w:pPr>
              <w:jc w:val="right"/>
              <w:spacing w:after="0" w:line="105" w:lineRule="exact"/>
              <w:rPr>
                <w:sz w:val="20"/>
                <w:szCs w:val="20"/>
                <w:color w:val="auto"/>
              </w:rPr>
            </w:pPr>
            <w:r>
              <w:rPr>
                <w:rFonts w:ascii="Arial" w:cs="Arial" w:eastAsia="Arial" w:hAnsi="Arial"/>
                <w:sz w:val="10"/>
                <w:szCs w:val="10"/>
                <w:color w:val="auto"/>
              </w:rPr>
              <w:t>— $</w:t>
            </w: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1,839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11"/>
        </w:trPr>
        <w:tc>
          <w:tcPr>
            <w:tcW w:w="960" w:type="dxa"/>
            <w:vAlign w:val="bottom"/>
          </w:tcPr>
          <w:p>
            <w:pPr>
              <w:spacing w:after="0" w:line="112" w:lineRule="exact"/>
              <w:rPr>
                <w:sz w:val="20"/>
                <w:szCs w:val="20"/>
                <w:color w:val="auto"/>
              </w:rPr>
            </w:pPr>
            <w:r>
              <w:rPr>
                <w:rFonts w:ascii="Arial" w:cs="Arial" w:eastAsia="Arial" w:hAnsi="Arial"/>
                <w:sz w:val="10"/>
                <w:szCs w:val="10"/>
                <w:color w:val="auto"/>
              </w:rPr>
              <w:t>Issuance of member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60"/>
              <w:spacing w:after="0" w:line="108" w:lineRule="exact"/>
              <w:rPr>
                <w:sz w:val="20"/>
                <w:szCs w:val="20"/>
                <w:color w:val="auto"/>
              </w:rPr>
            </w:pPr>
            <w:r>
              <w:rPr>
                <w:rFonts w:ascii="Arial" w:cs="Arial" w:eastAsia="Arial" w:hAnsi="Arial"/>
                <w:sz w:val="10"/>
                <w:szCs w:val="10"/>
                <w:color w:val="auto"/>
              </w:rPr>
              <w:t>units upon exercise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60"/>
              <w:spacing w:after="0" w:line="105" w:lineRule="exact"/>
              <w:rPr>
                <w:sz w:val="20"/>
                <w:szCs w:val="20"/>
                <w:color w:val="auto"/>
              </w:rPr>
            </w:pPr>
            <w:r>
              <w:rPr>
                <w:rFonts w:ascii="Arial" w:cs="Arial" w:eastAsia="Arial" w:hAnsi="Arial"/>
                <w:sz w:val="10"/>
                <w:szCs w:val="10"/>
                <w:color w:val="auto"/>
              </w:rPr>
              <w:t>of unit options</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5" w:lineRule="exact"/>
              <w:rPr>
                <w:sz w:val="20"/>
                <w:szCs w:val="20"/>
                <w:color w:val="auto"/>
              </w:rPr>
            </w:pPr>
            <w:r>
              <w:rPr>
                <w:rFonts w:ascii="Arial" w:cs="Arial" w:eastAsia="Arial" w:hAnsi="Arial"/>
                <w:sz w:val="10"/>
                <w:szCs w:val="10"/>
                <w:color w:val="auto"/>
              </w:rPr>
              <w:t>1,017,583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59</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Conversion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from LLC to</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Corporation</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3,333,000</w:t>
            </w: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1,750</w:t>
            </w: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3,329,497</w:t>
            </w: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2,600</w:t>
            </w: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1,648,978</w:t>
            </w: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1,400</w:t>
            </w:r>
          </w:p>
        </w:tc>
        <w:tc>
          <w:tcPr>
            <w:tcW w:w="4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w w:val="98"/>
              </w:rPr>
              <w:t>(15,781,732)</w:t>
            </w:r>
          </w:p>
        </w:tc>
        <w:tc>
          <w:tcPr>
            <w:tcW w:w="6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spacing w:after="0" w:line="105" w:lineRule="exact"/>
              <w:rPr>
                <w:sz w:val="20"/>
                <w:szCs w:val="20"/>
                <w:color w:val="auto"/>
              </w:rPr>
            </w:pPr>
            <w:r>
              <w:rPr>
                <w:rFonts w:ascii="Arial" w:cs="Arial" w:eastAsia="Arial" w:hAnsi="Arial"/>
                <w:sz w:val="10"/>
                <w:szCs w:val="10"/>
                <w:color w:val="auto"/>
                <w:w w:val="94"/>
              </w:rPr>
              <w:t>(5,923) 14,940,514</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5"/>
              </w:rPr>
              <w:t>29,881,028</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30</w:t>
            </w: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1,185</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(1,057)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60"/>
              <w:spacing w:after="0" w:line="108" w:lineRule="exact"/>
              <w:rPr>
                <w:sz w:val="20"/>
                <w:szCs w:val="20"/>
                <w:color w:val="auto"/>
              </w:rPr>
            </w:pPr>
            <w:r>
              <w:rPr>
                <w:rFonts w:ascii="Arial" w:cs="Arial" w:eastAsia="Arial" w:hAnsi="Arial"/>
                <w:sz w:val="10"/>
                <w:szCs w:val="10"/>
                <w:color w:val="auto"/>
              </w:rPr>
              <w:t>Net loss</w:t>
            </w:r>
          </w:p>
        </w:tc>
        <w:tc>
          <w:tcPr>
            <w:tcW w:w="580" w:type="dxa"/>
            <w:vAlign w:val="bottom"/>
            <w:gridSpan w:val="2"/>
          </w:tcPr>
          <w:p>
            <w:pPr>
              <w:jc w:val="right"/>
              <w:ind w:right="32"/>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(1,636)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Series D</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convertible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preferred stock,</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of issuance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costs of $130</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1,673,105</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7"/>
              </w:rPr>
              <w:t>67,872</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60"/>
              <w:spacing w:after="0" w:line="108" w:lineRule="exact"/>
              <w:rPr>
                <w:sz w:val="20"/>
                <w:szCs w:val="20"/>
                <w:color w:val="auto"/>
              </w:rPr>
            </w:pPr>
            <w:r>
              <w:rPr>
                <w:rFonts w:ascii="Arial" w:cs="Arial" w:eastAsia="Arial" w:hAnsi="Arial"/>
                <w:sz w:val="10"/>
                <w:szCs w:val="10"/>
                <w:color w:val="auto"/>
                <w:w w:val="96"/>
              </w:rPr>
              <w:t>Repurchase of stock</w:t>
            </w:r>
          </w:p>
        </w:tc>
        <w:tc>
          <w:tcPr>
            <w:tcW w:w="580" w:type="dxa"/>
            <w:vAlign w:val="bottom"/>
            <w:gridSpan w:val="2"/>
          </w:tcPr>
          <w:p>
            <w:pPr>
              <w:jc w:val="right"/>
              <w:ind w:right="12"/>
              <w:spacing w:after="0" w:line="108" w:lineRule="exact"/>
              <w:rPr>
                <w:sz w:val="20"/>
                <w:szCs w:val="20"/>
                <w:color w:val="auto"/>
              </w:rPr>
            </w:pPr>
            <w:r>
              <w:rPr>
                <w:rFonts w:ascii="Arial" w:cs="Arial" w:eastAsia="Arial" w:hAnsi="Arial"/>
                <w:sz w:val="10"/>
                <w:szCs w:val="10"/>
                <w:color w:val="auto"/>
              </w:rPr>
              <w:t>(283,394)</w:t>
            </w:r>
          </w:p>
        </w:tc>
        <w:tc>
          <w:tcPr>
            <w:tcW w:w="3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(149)</w:t>
            </w:r>
          </w:p>
        </w:tc>
        <w:tc>
          <w:tcPr>
            <w:tcW w:w="580" w:type="dxa"/>
            <w:vAlign w:val="bottom"/>
            <w:gridSpan w:val="2"/>
          </w:tcPr>
          <w:p>
            <w:pPr>
              <w:jc w:val="right"/>
              <w:ind w:right="12"/>
              <w:spacing w:after="0" w:line="108" w:lineRule="exact"/>
              <w:rPr>
                <w:sz w:val="20"/>
                <w:szCs w:val="20"/>
                <w:color w:val="auto"/>
              </w:rPr>
            </w:pPr>
            <w:r>
              <w:rPr>
                <w:rFonts w:ascii="Arial" w:cs="Arial" w:eastAsia="Arial" w:hAnsi="Arial"/>
                <w:sz w:val="10"/>
                <w:szCs w:val="10"/>
                <w:color w:val="auto"/>
              </w:rPr>
              <w:t>(33,443)</w:t>
            </w:r>
          </w:p>
        </w:tc>
        <w:tc>
          <w:tcPr>
            <w:tcW w:w="3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w:t>
            </w:r>
          </w:p>
        </w:tc>
        <w:tc>
          <w:tcPr>
            <w:tcW w:w="560" w:type="dxa"/>
            <w:vAlign w:val="bottom"/>
            <w:gridSpan w:val="2"/>
          </w:tcPr>
          <w:p>
            <w:pPr>
              <w:jc w:val="right"/>
              <w:ind w:right="12"/>
              <w:spacing w:after="0" w:line="108" w:lineRule="exact"/>
              <w:rPr>
                <w:sz w:val="20"/>
                <w:szCs w:val="20"/>
                <w:color w:val="auto"/>
              </w:rPr>
            </w:pPr>
            <w:r>
              <w:rPr>
                <w:rFonts w:ascii="Arial" w:cs="Arial" w:eastAsia="Arial" w:hAnsi="Arial"/>
                <w:sz w:val="10"/>
                <w:szCs w:val="10"/>
                <w:color w:val="auto"/>
              </w:rPr>
              <w:t>(81,123)</w:t>
            </w:r>
          </w:p>
        </w:tc>
        <w:tc>
          <w:tcPr>
            <w:tcW w:w="3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(69)</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3"/>
          </w:tcPr>
          <w:p>
            <w:pPr>
              <w:jc w:val="right"/>
              <w:spacing w:after="0" w:line="108" w:lineRule="exact"/>
              <w:rPr>
                <w:sz w:val="20"/>
                <w:szCs w:val="20"/>
                <w:color w:val="auto"/>
              </w:rPr>
            </w:pPr>
            <w:r>
              <w:rPr>
                <w:rFonts w:ascii="Arial" w:cs="Arial" w:eastAsia="Arial" w:hAnsi="Arial"/>
                <w:sz w:val="10"/>
                <w:szCs w:val="10"/>
                <w:color w:val="auto"/>
              </w:rPr>
              <w:t>(64,556)</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(129,112)</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(17,756)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common stock</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upon exercise of</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stock options</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3,996</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7,992</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Tax benefit related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to exercise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stock options</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26</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Stock-based</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compensation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expense</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1,040</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60" w:type="dxa"/>
            <w:vAlign w:val="bottom"/>
          </w:tcPr>
          <w:p>
            <w:pPr>
              <w:spacing w:after="0" w:line="101"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60"/>
              <w:spacing w:after="0" w:line="105" w:lineRule="exact"/>
              <w:rPr>
                <w:sz w:val="20"/>
                <w:szCs w:val="20"/>
                <w:color w:val="auto"/>
              </w:rPr>
            </w:pPr>
            <w:r>
              <w:rPr>
                <w:rFonts w:ascii="Arial" w:cs="Arial" w:eastAsia="Arial" w:hAnsi="Arial"/>
                <w:sz w:val="10"/>
                <w:szCs w:val="10"/>
                <w:color w:val="auto"/>
              </w:rPr>
              <w:t>December 31, 2015</w:t>
            </w: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3,049,606</w:t>
            </w:r>
          </w:p>
        </w:tc>
        <w:tc>
          <w:tcPr>
            <w:tcW w:w="8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1,601</w:t>
            </w:r>
          </w:p>
        </w:tc>
        <w:tc>
          <w:tcPr>
            <w:tcW w:w="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3,296,054</w:t>
            </w:r>
          </w:p>
        </w:tc>
        <w:tc>
          <w:tcPr>
            <w:tcW w:w="10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2,574</w:t>
            </w:r>
          </w:p>
        </w:tc>
        <w:tc>
          <w:tcPr>
            <w:tcW w:w="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1,567,855</w:t>
            </w:r>
          </w:p>
        </w:tc>
        <w:tc>
          <w:tcPr>
            <w:tcW w:w="8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1,331</w:t>
            </w:r>
          </w:p>
        </w:tc>
        <w:tc>
          <w:tcPr>
            <w:tcW w:w="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1,673,105</w:t>
            </w:r>
          </w:p>
        </w:tc>
        <w:tc>
          <w:tcPr>
            <w:tcW w:w="8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w w:val="97"/>
              </w:rPr>
              <w:t>67,872</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14,879,954</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15</w:t>
            </w:r>
          </w:p>
        </w:tc>
        <w:tc>
          <w:tcPr>
            <w:tcW w:w="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w w:val="95"/>
              </w:rPr>
              <w:t>29,759,908</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30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2,434</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(18,610)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Net</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income</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6,497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Series 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convertible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preferred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net of issuance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costs of $280</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1,107,202</w:t>
            </w:r>
          </w:p>
        </w:tc>
        <w:tc>
          <w:tcPr>
            <w:tcW w:w="8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59,732</w:t>
            </w:r>
          </w:p>
        </w:tc>
        <w:tc>
          <w:tcPr>
            <w:tcW w:w="100" w:type="dxa"/>
            <w:vAlign w:val="bottom"/>
            <w:tcBorders>
              <w:right w:val="single" w:sz="8" w:color="auto"/>
            </w:tcBorders>
          </w:tcPr>
          <w:p>
            <w:pPr>
              <w:spacing w:after="0"/>
              <w:rPr>
                <w:sz w:val="9"/>
                <w:szCs w:val="9"/>
                <w:color w:val="auto"/>
              </w:rPr>
            </w:pP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w w:val="96"/>
              </w:rPr>
              <w:t>Repurchase of stock</w:t>
            </w:r>
          </w:p>
        </w:tc>
        <w:tc>
          <w:tcPr>
            <w:tcW w:w="580" w:type="dxa"/>
            <w:vAlign w:val="bottom"/>
            <w:tcBorders>
              <w:right w:val="single" w:sz="8" w:color="CCEEFF"/>
            </w:tcBorders>
            <w:gridSpan w:val="2"/>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rPr>
              <w:t>(224,903)</w:t>
            </w:r>
          </w:p>
        </w:tc>
        <w:tc>
          <w:tcPr>
            <w:tcW w:w="3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(118)</w:t>
            </w:r>
          </w:p>
        </w:tc>
        <w:tc>
          <w:tcPr>
            <w:tcW w:w="580" w:type="dxa"/>
            <w:vAlign w:val="bottom"/>
            <w:tcBorders>
              <w:right w:val="single" w:sz="8" w:color="CCEEFF"/>
            </w:tcBorders>
            <w:gridSpan w:val="2"/>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rPr>
              <w:t>(357,568)</w:t>
            </w:r>
          </w:p>
        </w:tc>
        <w:tc>
          <w:tcPr>
            <w:tcW w:w="3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(279)</w:t>
            </w:r>
          </w:p>
        </w:tc>
        <w:tc>
          <w:tcPr>
            <w:tcW w:w="560" w:type="dxa"/>
            <w:vAlign w:val="bottom"/>
            <w:tcBorders>
              <w:right w:val="single" w:sz="8" w:color="CCEEFF"/>
            </w:tcBorders>
            <w:gridSpan w:val="2"/>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rPr>
              <w:t>(17,243)</w:t>
            </w:r>
          </w:p>
        </w:tc>
        <w:tc>
          <w:tcPr>
            <w:tcW w:w="3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(15)</w:t>
            </w:r>
          </w:p>
        </w:tc>
        <w:tc>
          <w:tcPr>
            <w:tcW w:w="580" w:type="dxa"/>
            <w:vAlign w:val="bottom"/>
            <w:tcBorders>
              <w:right w:val="single" w:sz="8" w:color="CCEEFF"/>
            </w:tcBorders>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10"/>
                <w:szCs w:val="10"/>
                <w:color w:val="auto"/>
              </w:rPr>
              <w:t>(899,046)</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w:t>
            </w:r>
          </w:p>
        </w:tc>
        <w:tc>
          <w:tcPr>
            <w:tcW w:w="5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(1,798,092)</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(59,585)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common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upon exercise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stock options and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vesting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restricted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units</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41,224</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82,448</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137</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Tax benefit related</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to exercise of</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stock options</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821</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Stock-based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compensation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expense</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322</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Foreign currency</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translation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adjustment</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(30)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60" w:type="dxa"/>
            <w:vAlign w:val="bottom"/>
          </w:tcPr>
          <w:p>
            <w:pPr>
              <w:spacing w:after="0" w:line="101"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60"/>
              <w:spacing w:after="0" w:line="105" w:lineRule="exact"/>
              <w:rPr>
                <w:sz w:val="20"/>
                <w:szCs w:val="20"/>
                <w:color w:val="auto"/>
              </w:rPr>
            </w:pPr>
            <w:r>
              <w:rPr>
                <w:rFonts w:ascii="Arial" w:cs="Arial" w:eastAsia="Arial" w:hAnsi="Arial"/>
                <w:sz w:val="10"/>
                <w:szCs w:val="10"/>
                <w:color w:val="auto"/>
              </w:rPr>
              <w:t>December 31, 2016</w:t>
            </w: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2,824,703</w:t>
            </w:r>
          </w:p>
        </w:tc>
        <w:tc>
          <w:tcPr>
            <w:tcW w:w="8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1,483</w:t>
            </w:r>
          </w:p>
        </w:tc>
        <w:tc>
          <w:tcPr>
            <w:tcW w:w="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2,938,486</w:t>
            </w:r>
          </w:p>
        </w:tc>
        <w:tc>
          <w:tcPr>
            <w:tcW w:w="10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2,295</w:t>
            </w:r>
          </w:p>
        </w:tc>
        <w:tc>
          <w:tcPr>
            <w:tcW w:w="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1,550,612</w:t>
            </w:r>
          </w:p>
        </w:tc>
        <w:tc>
          <w:tcPr>
            <w:tcW w:w="8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1,316</w:t>
            </w:r>
          </w:p>
        </w:tc>
        <w:tc>
          <w:tcPr>
            <w:tcW w:w="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1,673,105</w:t>
            </w:r>
          </w:p>
        </w:tc>
        <w:tc>
          <w:tcPr>
            <w:tcW w:w="8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w w:val="97"/>
              </w:rPr>
              <w:t>67,872</w:t>
            </w:r>
          </w:p>
        </w:tc>
        <w:tc>
          <w:tcPr>
            <w:tcW w:w="5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1,107,202</w:t>
            </w:r>
          </w:p>
        </w:tc>
        <w:tc>
          <w:tcPr>
            <w:tcW w:w="8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59,732</w:t>
            </w:r>
          </w:p>
        </w:tc>
        <w:tc>
          <w:tcPr>
            <w:tcW w:w="100" w:type="dxa"/>
            <w:vAlign w:val="bottom"/>
            <w:tcBorders>
              <w:right w:val="single" w:sz="8" w:color="auto"/>
            </w:tcBorders>
          </w:tcPr>
          <w:p>
            <w:pPr>
              <w:spacing w:after="0"/>
              <w:rPr>
                <w:sz w:val="9"/>
                <w:szCs w:val="9"/>
                <w:color w:val="auto"/>
              </w:rPr>
            </w:pP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14,022,132</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14</w:t>
            </w:r>
          </w:p>
        </w:tc>
        <w:tc>
          <w:tcPr>
            <w:tcW w:w="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w w:val="95"/>
              </w:rPr>
              <w:t>28,044,264</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28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3,714</w:t>
            </w:r>
          </w:p>
        </w:tc>
        <w:tc>
          <w:tcPr>
            <w:tcW w:w="80" w:type="dxa"/>
            <w:vAlign w:val="bottom"/>
          </w:tcPr>
          <w:p>
            <w:pPr>
              <w:spacing w:after="0"/>
              <w:rPr>
                <w:sz w:val="9"/>
                <w:szCs w:val="9"/>
                <w:color w:val="auto"/>
              </w:rPr>
            </w:pPr>
          </w:p>
        </w:tc>
        <w:tc>
          <w:tcPr>
            <w:tcW w:w="7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(30)</w:t>
            </w:r>
          </w:p>
        </w:tc>
        <w:tc>
          <w:tcPr>
            <w:tcW w:w="60" w:type="dxa"/>
            <w:vAlign w:val="bottom"/>
          </w:tcPr>
          <w:p>
            <w:pPr>
              <w:spacing w:after="0"/>
              <w:rPr>
                <w:sz w:val="9"/>
                <w:szCs w:val="9"/>
                <w:color w:val="auto"/>
              </w:rPr>
            </w:pPr>
          </w:p>
        </w:tc>
        <w:tc>
          <w:tcPr>
            <w:tcW w:w="6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(71,698)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Net income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8,553</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common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upon exercise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stock options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58,484</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116,968</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168</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Stock-based</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compensation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expense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150</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Foreign currency</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translation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adjustment</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157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6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Balance at June 30,</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60"/>
              <w:spacing w:after="0" w:line="105" w:lineRule="exact"/>
              <w:rPr>
                <w:sz w:val="20"/>
                <w:szCs w:val="20"/>
                <w:color w:val="auto"/>
              </w:rPr>
            </w:pPr>
            <w:r>
              <w:rPr>
                <w:rFonts w:ascii="Arial" w:cs="Arial" w:eastAsia="Arial" w:hAnsi="Arial"/>
                <w:sz w:val="10"/>
                <w:szCs w:val="10"/>
                <w:color w:val="auto"/>
              </w:rPr>
              <w:t>2017 (unaudited)</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2,824,703</w:t>
            </w: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1,483</w:t>
            </w: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2,938,486</w:t>
            </w: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2,295</w:t>
            </w: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1,550,612</w:t>
            </w: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1,316</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1,673,105</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7"/>
              </w:rPr>
              <w:t>67,872</w:t>
            </w:r>
          </w:p>
        </w:tc>
        <w:tc>
          <w:tcPr>
            <w:tcW w:w="5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1,107,202</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59,732</w:t>
            </w:r>
          </w:p>
        </w:tc>
        <w:tc>
          <w:tcPr>
            <w:tcW w:w="10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14,080,616</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95"/>
              </w:rPr>
              <w:t>28,161,232</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28</w:t>
            </w: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4,032</w:t>
            </w: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127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(63,145)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tcPr>
          <w:p>
            <w:pPr>
              <w:ind w:left="60"/>
              <w:spacing w:after="0" w:line="112" w:lineRule="exact"/>
              <w:rPr>
                <w:sz w:val="20"/>
                <w:szCs w:val="20"/>
                <w:color w:val="auto"/>
              </w:rPr>
            </w:pPr>
            <w:r>
              <w:rPr>
                <w:rFonts w:ascii="Arial" w:cs="Arial" w:eastAsia="Arial" w:hAnsi="Arial"/>
                <w:sz w:val="10"/>
                <w:szCs w:val="10"/>
                <w:color w:val="auto"/>
              </w:rPr>
              <w:t>Conversion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convertible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preferred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into Class A</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20"/>
              <w:spacing w:after="0" w:line="108" w:lineRule="exact"/>
              <w:rPr>
                <w:sz w:val="20"/>
                <w:szCs w:val="20"/>
                <w:color w:val="auto"/>
              </w:rPr>
            </w:pPr>
            <w:r>
              <w:rPr>
                <w:rFonts w:ascii="Arial" w:cs="Arial" w:eastAsia="Arial" w:hAnsi="Arial"/>
                <w:sz w:val="10"/>
                <w:szCs w:val="10"/>
                <w:color w:val="auto"/>
              </w:rPr>
              <w:t>common 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gridSpan w:val="2"/>
          </w:tcPr>
          <w:p>
            <w:pPr>
              <w:jc w:val="right"/>
              <w:ind w:right="12"/>
              <w:spacing w:after="0" w:line="105" w:lineRule="exact"/>
              <w:rPr>
                <w:sz w:val="20"/>
                <w:szCs w:val="20"/>
                <w:color w:val="auto"/>
              </w:rPr>
            </w:pPr>
            <w:r>
              <w:rPr>
                <w:rFonts w:ascii="Arial" w:cs="Arial" w:eastAsia="Arial" w:hAnsi="Arial"/>
                <w:sz w:val="10"/>
                <w:szCs w:val="10"/>
                <w:color w:val="auto"/>
                <w:w w:val="97"/>
              </w:rPr>
              <w:t>(2,824,703)</w:t>
            </w:r>
          </w:p>
        </w:tc>
        <w:tc>
          <w:tcPr>
            <w:tcW w:w="900" w:type="dxa"/>
            <w:vAlign w:val="bottom"/>
            <w:gridSpan w:val="4"/>
          </w:tcPr>
          <w:p>
            <w:pPr>
              <w:jc w:val="right"/>
              <w:ind w:right="12"/>
              <w:spacing w:after="0" w:line="105" w:lineRule="exact"/>
              <w:rPr>
                <w:sz w:val="20"/>
                <w:szCs w:val="20"/>
                <w:color w:val="auto"/>
              </w:rPr>
            </w:pPr>
            <w:r>
              <w:rPr>
                <w:rFonts w:ascii="Arial" w:cs="Arial" w:eastAsia="Arial" w:hAnsi="Arial"/>
                <w:sz w:val="10"/>
                <w:szCs w:val="10"/>
                <w:color w:val="auto"/>
                <w:w w:val="95"/>
              </w:rPr>
              <w:t>(1,483) (2,938,486)</w:t>
            </w:r>
          </w:p>
        </w:tc>
        <w:tc>
          <w:tcPr>
            <w:tcW w:w="880" w:type="dxa"/>
            <w:vAlign w:val="bottom"/>
            <w:gridSpan w:val="4"/>
          </w:tcPr>
          <w:p>
            <w:pPr>
              <w:jc w:val="right"/>
              <w:ind w:right="12"/>
              <w:spacing w:after="0" w:line="105" w:lineRule="exact"/>
              <w:rPr>
                <w:sz w:val="20"/>
                <w:szCs w:val="20"/>
                <w:color w:val="auto"/>
              </w:rPr>
            </w:pPr>
            <w:r>
              <w:rPr>
                <w:rFonts w:ascii="Arial" w:cs="Arial" w:eastAsia="Arial" w:hAnsi="Arial"/>
                <w:sz w:val="10"/>
                <w:szCs w:val="10"/>
                <w:color w:val="auto"/>
                <w:w w:val="93"/>
              </w:rPr>
              <w:t>(2,295) (1,550,612)</w:t>
            </w:r>
          </w:p>
        </w:tc>
        <w:tc>
          <w:tcPr>
            <w:tcW w:w="900" w:type="dxa"/>
            <w:vAlign w:val="bottom"/>
            <w:gridSpan w:val="4"/>
          </w:tcPr>
          <w:p>
            <w:pPr>
              <w:jc w:val="right"/>
              <w:ind w:right="60"/>
              <w:spacing w:after="0" w:line="105" w:lineRule="exact"/>
              <w:rPr>
                <w:sz w:val="20"/>
                <w:szCs w:val="20"/>
                <w:color w:val="auto"/>
              </w:rPr>
            </w:pPr>
            <w:r>
              <w:rPr>
                <w:rFonts w:ascii="Arial" w:cs="Arial" w:eastAsia="Arial" w:hAnsi="Arial"/>
                <w:sz w:val="10"/>
                <w:szCs w:val="10"/>
                <w:color w:val="auto"/>
                <w:w w:val="95"/>
              </w:rPr>
              <w:t>(1,316) (1,673,105)</w:t>
            </w:r>
          </w:p>
        </w:tc>
        <w:tc>
          <w:tcPr>
            <w:tcW w:w="940" w:type="dxa"/>
            <w:vAlign w:val="bottom"/>
            <w:gridSpan w:val="4"/>
          </w:tcPr>
          <w:p>
            <w:pPr>
              <w:jc w:val="right"/>
              <w:ind w:right="60"/>
              <w:spacing w:after="0" w:line="105" w:lineRule="exact"/>
              <w:rPr>
                <w:sz w:val="20"/>
                <w:szCs w:val="20"/>
                <w:color w:val="auto"/>
              </w:rPr>
            </w:pPr>
            <w:r>
              <w:rPr>
                <w:rFonts w:ascii="Arial" w:cs="Arial" w:eastAsia="Arial" w:hAnsi="Arial"/>
                <w:sz w:val="10"/>
                <w:szCs w:val="10"/>
                <w:color w:val="auto"/>
                <w:w w:val="94"/>
              </w:rPr>
              <w:t>(67,872) (1,107,202)</w:t>
            </w:r>
          </w:p>
        </w:tc>
        <w:tc>
          <w:tcPr>
            <w:tcW w:w="440" w:type="dxa"/>
            <w:vAlign w:val="bottom"/>
            <w:tcBorders>
              <w:right w:val="single" w:sz="8" w:color="auto"/>
            </w:tcBorders>
            <w:gridSpan w:val="2"/>
          </w:tcPr>
          <w:p>
            <w:pPr>
              <w:jc w:val="right"/>
              <w:ind w:right="80"/>
              <w:spacing w:after="0" w:line="105" w:lineRule="exact"/>
              <w:rPr>
                <w:sz w:val="20"/>
                <w:szCs w:val="20"/>
                <w:color w:val="auto"/>
              </w:rPr>
            </w:pPr>
            <w:r>
              <w:rPr>
                <w:rFonts w:ascii="Arial" w:cs="Arial" w:eastAsia="Arial" w:hAnsi="Arial"/>
                <w:sz w:val="10"/>
                <w:szCs w:val="10"/>
                <w:color w:val="auto"/>
                <w:w w:val="91"/>
              </w:rPr>
              <w:t>(59,732)</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60,564,678</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61</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132,637</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960" w:type="dxa"/>
            <w:vAlign w:val="bottom"/>
            <w:shd w:val="clear" w:color="auto" w:fill="CCEEFF"/>
          </w:tcPr>
          <w:p>
            <w:pPr>
              <w:ind w:left="60"/>
              <w:spacing w:after="0" w:line="112" w:lineRule="exact"/>
              <w:rPr>
                <w:sz w:val="20"/>
                <w:szCs w:val="20"/>
                <w:color w:val="auto"/>
              </w:rPr>
            </w:pPr>
            <w:r>
              <w:rPr>
                <w:rFonts w:ascii="Arial" w:cs="Arial" w:eastAsia="Arial" w:hAnsi="Arial"/>
                <w:sz w:val="10"/>
                <w:szCs w:val="10"/>
                <w:color w:val="auto"/>
              </w:rPr>
              <w:t>Stock-based</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compensation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expense to be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recognized upon</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closing of the</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proposed IPO</w:t>
            </w: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shd w:val="clear" w:color="auto" w:fill="CCEEFF"/>
          </w:tcPr>
          <w:p>
            <w:pPr>
              <w:ind w:left="12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32"/>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auto"/>
            </w:tcBorders>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1,897</w:t>
            </w:r>
          </w:p>
        </w:tc>
        <w:tc>
          <w:tcPr>
            <w:tcW w:w="8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(1,897)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60" w:type="dxa"/>
            <w:vAlign w:val="bottom"/>
          </w:tcPr>
          <w:p>
            <w:pPr>
              <w:spacing w:after="0" w:line="101" w:lineRule="exact"/>
              <w:rPr>
                <w:sz w:val="20"/>
                <w:szCs w:val="20"/>
                <w:color w:val="auto"/>
              </w:rPr>
            </w:pPr>
            <w:r>
              <w:rPr>
                <w:rFonts w:ascii="Arial" w:cs="Arial" w:eastAsia="Arial" w:hAnsi="Arial"/>
                <w:sz w:val="10"/>
                <w:szCs w:val="10"/>
                <w:color w:val="auto"/>
              </w:rPr>
              <w:t>Pro forma balance at</w:t>
            </w: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60"/>
              <w:spacing w:after="0" w:line="108" w:lineRule="exact"/>
              <w:rPr>
                <w:sz w:val="20"/>
                <w:szCs w:val="20"/>
                <w:color w:val="auto"/>
              </w:rPr>
            </w:pPr>
            <w:r>
              <w:rPr>
                <w:rFonts w:ascii="Arial" w:cs="Arial" w:eastAsia="Arial" w:hAnsi="Arial"/>
                <w:sz w:val="10"/>
                <w:szCs w:val="10"/>
                <w:color w:val="auto"/>
              </w:rPr>
              <w:t>June 30, 2017</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60"/>
              <w:spacing w:after="0" w:line="105" w:lineRule="exact"/>
              <w:rPr>
                <w:sz w:val="20"/>
                <w:szCs w:val="20"/>
                <w:color w:val="auto"/>
              </w:rPr>
            </w:pPr>
            <w:r>
              <w:rPr>
                <w:rFonts w:ascii="Arial" w:cs="Arial" w:eastAsia="Arial" w:hAnsi="Arial"/>
                <w:sz w:val="10"/>
                <w:szCs w:val="10"/>
                <w:color w:val="auto"/>
              </w:rPr>
              <w:t>(unaudited)</w:t>
            </w:r>
          </w:p>
        </w:tc>
        <w:tc>
          <w:tcPr>
            <w:tcW w:w="5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 $</w:t>
            </w:r>
          </w:p>
        </w:tc>
        <w:tc>
          <w:tcPr>
            <w:tcW w:w="32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 $</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8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 $</w:t>
            </w:r>
          </w:p>
        </w:tc>
        <w:tc>
          <w:tcPr>
            <w:tcW w:w="440" w:type="dxa"/>
            <w:vAlign w:val="bottom"/>
            <w:tcBorders>
              <w:right w:val="single" w:sz="8" w:color="auto"/>
            </w:tcBorders>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640" w:type="dxa"/>
            <w:vAlign w:val="bottom"/>
            <w:gridSpan w:val="3"/>
          </w:tcPr>
          <w:p>
            <w:pPr>
              <w:jc w:val="right"/>
              <w:spacing w:after="0" w:line="105" w:lineRule="exact"/>
              <w:rPr>
                <w:sz w:val="20"/>
                <w:szCs w:val="20"/>
                <w:color w:val="auto"/>
              </w:rPr>
            </w:pPr>
            <w:r>
              <w:rPr>
                <w:rFonts w:ascii="Arial" w:cs="Arial" w:eastAsia="Arial" w:hAnsi="Arial"/>
                <w:sz w:val="10"/>
                <w:szCs w:val="10"/>
                <w:color w:val="auto"/>
              </w:rPr>
              <w:t>— $</w:t>
            </w: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74,645,294</w:t>
            </w:r>
          </w:p>
        </w:tc>
        <w:tc>
          <w:tcPr>
            <w:tcW w:w="40" w:type="dxa"/>
            <w:vAlign w:val="bottom"/>
          </w:tcPr>
          <w:p>
            <w:pPr>
              <w:spacing w:after="0"/>
              <w:rPr>
                <w:sz w:val="9"/>
                <w:szCs w:val="9"/>
                <w:color w:val="auto"/>
              </w:rPr>
            </w:pPr>
          </w:p>
        </w:tc>
        <w:tc>
          <w:tcPr>
            <w:tcW w:w="200" w:type="dxa"/>
            <w:vAlign w:val="bottom"/>
          </w:tcPr>
          <w:p>
            <w:pPr>
              <w:jc w:val="right"/>
              <w:ind w:right="92"/>
              <w:spacing w:after="0" w:line="105" w:lineRule="exact"/>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75</w:t>
            </w:r>
          </w:p>
        </w:tc>
        <w:tc>
          <w:tcPr>
            <w:tcW w:w="4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w w:val="95"/>
              </w:rPr>
              <w:t>28,161,232</w:t>
            </w:r>
          </w:p>
        </w:tc>
        <w:tc>
          <w:tcPr>
            <w:tcW w:w="40" w:type="dxa"/>
            <w:vAlign w:val="bottom"/>
          </w:tcPr>
          <w:p>
            <w:pPr>
              <w:spacing w:after="0"/>
              <w:rPr>
                <w:sz w:val="9"/>
                <w:szCs w:val="9"/>
                <w:color w:val="auto"/>
              </w:rPr>
            </w:pPr>
          </w:p>
        </w:tc>
        <w:tc>
          <w:tcPr>
            <w:tcW w:w="200" w:type="dxa"/>
            <w:vAlign w:val="bottom"/>
          </w:tcPr>
          <w:p>
            <w:pPr>
              <w:jc w:val="right"/>
              <w:ind w:right="92"/>
              <w:spacing w:after="0" w:line="105" w:lineRule="exact"/>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line="105" w:lineRule="exact"/>
              <w:rPr>
                <w:sz w:val="20"/>
                <w:szCs w:val="20"/>
                <w:color w:val="auto"/>
              </w:rPr>
            </w:pPr>
            <w:r>
              <w:rPr>
                <w:rFonts w:ascii="Arial" w:cs="Arial" w:eastAsia="Arial" w:hAnsi="Arial"/>
                <w:sz w:val="10"/>
                <w:szCs w:val="10"/>
                <w:color w:val="auto"/>
              </w:rPr>
              <w:t>28</w:t>
            </w:r>
          </w:p>
        </w:tc>
        <w:tc>
          <w:tcPr>
            <w:tcW w:w="20" w:type="dxa"/>
            <w:vAlign w:val="bottom"/>
          </w:tcPr>
          <w:p>
            <w:pPr>
              <w:spacing w:after="0"/>
              <w:rPr>
                <w:sz w:val="9"/>
                <w:szCs w:val="9"/>
                <w:color w:val="auto"/>
              </w:rPr>
            </w:pPr>
          </w:p>
        </w:tc>
        <w:tc>
          <w:tcPr>
            <w:tcW w:w="60" w:type="dxa"/>
            <w:vAlign w:val="bottom"/>
          </w:tcPr>
          <w:p>
            <w:pPr>
              <w:jc w:val="right"/>
              <w:spacing w:after="0" w:line="105"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5" w:lineRule="exact"/>
              <w:rPr>
                <w:sz w:val="20"/>
                <w:szCs w:val="20"/>
                <w:color w:val="auto"/>
              </w:rPr>
            </w:pPr>
            <w:r>
              <w:rPr>
                <w:rFonts w:ascii="Arial" w:cs="Arial" w:eastAsia="Arial" w:hAnsi="Arial"/>
                <w:sz w:val="10"/>
                <w:szCs w:val="10"/>
                <w:color w:val="auto"/>
              </w:rPr>
              <w:t>138,566</w:t>
            </w:r>
          </w:p>
        </w:tc>
        <w:tc>
          <w:tcPr>
            <w:tcW w:w="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127</w:t>
            </w:r>
          </w:p>
        </w:tc>
        <w:tc>
          <w:tcPr>
            <w:tcW w:w="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3"/>
          </w:tcPr>
          <w:p>
            <w:pPr>
              <w:jc w:val="right"/>
              <w:spacing w:after="0" w:line="105" w:lineRule="exact"/>
              <w:rPr>
                <w:sz w:val="20"/>
                <w:szCs w:val="20"/>
                <w:color w:val="auto"/>
              </w:rPr>
            </w:pPr>
            <w:r>
              <w:rPr>
                <w:rFonts w:ascii="Arial" w:cs="Arial" w:eastAsia="Arial" w:hAnsi="Arial"/>
                <w:sz w:val="10"/>
                <w:szCs w:val="10"/>
                <w:color w:val="auto"/>
              </w:rPr>
              <w:t>(65,042)</w:t>
            </w:r>
            <w:r>
              <w:rPr>
                <w:rFonts w:ascii="Arial" w:cs="Arial" w:eastAsia="Arial" w:hAnsi="Arial"/>
                <w:sz w:val="10"/>
                <w:szCs w:val="10"/>
                <w:u w:val="single" w:color="auto"/>
                <w:color w:val="auto"/>
              </w:rPr>
              <w:t>$</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7292975</wp:posOffset>
            </wp:positionH>
            <wp:positionV relativeFrom="paragraph">
              <wp:posOffset>-6090285</wp:posOffset>
            </wp:positionV>
            <wp:extent cx="34925"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925" cy="11430"/>
                    </a:xfrm>
                    <a:prstGeom prst="rect">
                      <a:avLst/>
                    </a:prstGeom>
                    <a:noFill/>
                  </pic:spPr>
                </pic:pic>
              </a:graphicData>
            </a:graphic>
          </wp:anchor>
        </w:drawing>
        <w:drawing>
          <wp:anchor simplePos="0" relativeHeight="251657728" behindDoc="1" locked="0" layoutInCell="0" allowOverlap="1">
            <wp:simplePos x="0" y="0"/>
            <wp:positionH relativeFrom="column">
              <wp:posOffset>7292975</wp:posOffset>
            </wp:positionH>
            <wp:positionV relativeFrom="paragraph">
              <wp:posOffset>-227965</wp:posOffset>
            </wp:positionV>
            <wp:extent cx="349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925" cy="5715"/>
                    </a:xfrm>
                    <a:prstGeom prst="rect">
                      <a:avLst/>
                    </a:prstGeom>
                    <a:noFill/>
                  </pic:spPr>
                </pic:pic>
              </a:graphicData>
            </a:graphic>
          </wp:anchor>
        </w:drawing>
        <w:drawing>
          <wp:anchor simplePos="0" relativeHeight="251657728" behindDoc="1" locked="0" layoutInCell="0" allowOverlap="1">
            <wp:simplePos x="0" y="0"/>
            <wp:positionH relativeFrom="column">
              <wp:posOffset>7292975</wp:posOffset>
            </wp:positionH>
            <wp:positionV relativeFrom="paragraph">
              <wp:posOffset>-5080</wp:posOffset>
            </wp:positionV>
            <wp:extent cx="349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925" cy="5715"/>
                    </a:xfrm>
                    <a:prstGeom prst="rect">
                      <a:avLst/>
                    </a:prstGeom>
                    <a:noFill/>
                  </pic:spPr>
                </pic:pic>
              </a:graphicData>
            </a:graphic>
          </wp:anchor>
        </w:drawing>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42" w:right="139" w:bottom="1440" w:gutter="0" w:footer="0" w:header="0"/>
        </w:sectPr>
      </w:pPr>
    </w:p>
    <w:bookmarkStart w:id="177" w:name="page178"/>
    <w:bookmarkEnd w:id="17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160" w:type="dxa"/>
            <w:vAlign w:val="bottom"/>
          </w:tcPr>
          <w:p>
            <w:pPr>
              <w:jc w:val="center"/>
              <w:ind w:left="2901"/>
              <w:spacing w:after="0"/>
              <w:rPr>
                <w:sz w:val="20"/>
                <w:szCs w:val="20"/>
                <w:color w:val="auto"/>
              </w:rPr>
            </w:pPr>
            <w:r>
              <w:rPr>
                <w:rFonts w:ascii="Arial" w:cs="Arial" w:eastAsia="Arial" w:hAnsi="Arial"/>
                <w:sz w:val="12"/>
                <w:szCs w:val="12"/>
                <w:b w:val="1"/>
                <w:bCs w:val="1"/>
                <w:color w:val="auto"/>
                <w:w w:val="96"/>
              </w:rPr>
              <w:t>CarGurus, Inc.</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Pr>
          <w:p>
            <w:pPr>
              <w:jc w:val="center"/>
              <w:ind w:left="2901"/>
              <w:spacing w:after="0"/>
              <w:rPr>
                <w:sz w:val="20"/>
                <w:szCs w:val="20"/>
                <w:color w:val="auto"/>
              </w:rPr>
            </w:pPr>
            <w:r>
              <w:rPr>
                <w:rFonts w:ascii="Arial" w:cs="Arial" w:eastAsia="Arial" w:hAnsi="Arial"/>
                <w:sz w:val="12"/>
                <w:szCs w:val="12"/>
                <w:b w:val="1"/>
                <w:bCs w:val="1"/>
                <w:color w:val="auto"/>
                <w:w w:val="97"/>
              </w:rPr>
              <w:t>Consolidated Statements of Cash Flows</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Pr>
          <w:p>
            <w:pPr>
              <w:jc w:val="center"/>
              <w:ind w:left="2901"/>
              <w:spacing w:after="0"/>
              <w:rPr>
                <w:sz w:val="20"/>
                <w:szCs w:val="20"/>
                <w:color w:val="auto"/>
              </w:rPr>
            </w:pPr>
            <w:r>
              <w:rPr>
                <w:rFonts w:ascii="Arial" w:cs="Arial" w:eastAsia="Arial" w:hAnsi="Arial"/>
                <w:sz w:val="12"/>
                <w:szCs w:val="12"/>
                <w:b w:val="1"/>
                <w:bCs w:val="1"/>
                <w:color w:val="auto"/>
                <w:w w:val="96"/>
              </w:rPr>
              <w:t>(in thousands)</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6"/>
          </w:tcPr>
          <w:p>
            <w:pPr>
              <w:jc w:val="right"/>
              <w:ind w:right="340"/>
              <w:spacing w:after="0"/>
              <w:rPr>
                <w:sz w:val="20"/>
                <w:szCs w:val="20"/>
                <w:color w:val="auto"/>
              </w:rPr>
            </w:pPr>
            <w:r>
              <w:rPr>
                <w:rFonts w:ascii="Arial" w:cs="Arial" w:eastAsia="Arial" w:hAnsi="Arial"/>
                <w:sz w:val="12"/>
                <w:szCs w:val="12"/>
                <w:color w:val="auto"/>
              </w:rPr>
              <w:t>Year Ended</w:t>
            </w:r>
          </w:p>
        </w:tc>
        <w:tc>
          <w:tcPr>
            <w:tcW w:w="100" w:type="dxa"/>
            <w:vAlign w:val="bottom"/>
          </w:tcPr>
          <w:p>
            <w:pPr>
              <w:spacing w:after="0"/>
              <w:rPr>
                <w:sz w:val="24"/>
                <w:szCs w:val="24"/>
                <w:color w:val="auto"/>
              </w:rPr>
            </w:pPr>
          </w:p>
        </w:tc>
        <w:tc>
          <w:tcPr>
            <w:tcW w:w="1200" w:type="dxa"/>
            <w:vAlign w:val="bottom"/>
            <w:gridSpan w:val="6"/>
          </w:tcPr>
          <w:p>
            <w:pPr>
              <w:jc w:val="right"/>
              <w:ind w:right="400"/>
              <w:spacing w:after="0"/>
              <w:rPr>
                <w:sz w:val="20"/>
                <w:szCs w:val="20"/>
                <w:color w:val="auto"/>
              </w:rPr>
            </w:pPr>
            <w:r>
              <w:rPr>
                <w:rFonts w:ascii="Arial" w:cs="Arial" w:eastAsia="Arial" w:hAnsi="Arial"/>
                <w:sz w:val="12"/>
                <w:szCs w:val="12"/>
                <w:color w:val="auto"/>
              </w:rPr>
              <w:t>Six Months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6"/>
          </w:tcPr>
          <w:p>
            <w:pPr>
              <w:jc w:val="right"/>
              <w:ind w:right="320"/>
              <w:spacing w:after="0"/>
              <w:rPr>
                <w:sz w:val="20"/>
                <w:szCs w:val="20"/>
                <w:color w:val="auto"/>
              </w:rPr>
            </w:pPr>
            <w:r>
              <w:rPr>
                <w:rFonts w:ascii="Arial" w:cs="Arial" w:eastAsia="Arial" w:hAnsi="Arial"/>
                <w:sz w:val="12"/>
                <w:szCs w:val="12"/>
                <w:color w:val="auto"/>
              </w:rPr>
              <w:t>December 31,</w:t>
            </w:r>
          </w:p>
        </w:tc>
        <w:tc>
          <w:tcPr>
            <w:tcW w:w="100" w:type="dxa"/>
            <w:vAlign w:val="bottom"/>
          </w:tcPr>
          <w:p>
            <w:pPr>
              <w:spacing w:after="0"/>
              <w:rPr>
                <w:sz w:val="13"/>
                <w:szCs w:val="13"/>
                <w:color w:val="auto"/>
              </w:rPr>
            </w:pPr>
          </w:p>
        </w:tc>
        <w:tc>
          <w:tcPr>
            <w:tcW w:w="1200" w:type="dxa"/>
            <w:vAlign w:val="bottom"/>
            <w:gridSpan w:val="6"/>
          </w:tcPr>
          <w:p>
            <w:pPr>
              <w:jc w:val="right"/>
              <w:ind w:right="320"/>
              <w:spacing w:after="0"/>
              <w:rPr>
                <w:sz w:val="20"/>
                <w:szCs w:val="20"/>
                <w:color w:val="auto"/>
              </w:rPr>
            </w:pPr>
            <w:r>
              <w:rPr>
                <w:rFonts w:ascii="Arial" w:cs="Arial" w:eastAsia="Arial" w:hAnsi="Arial"/>
                <w:sz w:val="12"/>
                <w:szCs w:val="12"/>
                <w:color w:val="auto"/>
              </w:rPr>
              <w:t>Ended June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89"/>
              </w:rPr>
              <w:t>2015</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w w:val="97"/>
              </w:rPr>
              <w:t>2016</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6"/>
          </w:tcPr>
          <w:p>
            <w:pPr>
              <w:jc w:val="right"/>
              <w:ind w:right="34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Operating Activities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Net (loss) income</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(1,636)</w:t>
            </w: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6,497</w:t>
            </w: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521</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8,553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Adjustments to reconcile net (loss) income to net cash provided by operating activities: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Depreciation and amortization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1,122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2,072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836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1,587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Unrealized currency loss on foreign denominated transactions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Deferred taxes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82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Provision for doubtful accounts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508</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 expense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1,040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322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148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Excess tax benefit related to exercise of stock options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(821)</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Changes in operating assets and liabilities: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Accounts receivable, net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(716)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(1,432)</w:t>
            </w: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(2,720)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80"/>
              <w:spacing w:after="0" w:line="135" w:lineRule="exact"/>
              <w:rPr>
                <w:sz w:val="20"/>
                <w:szCs w:val="20"/>
                <w:color w:val="auto"/>
              </w:rPr>
            </w:pPr>
            <w:r>
              <w:rPr>
                <w:rFonts w:ascii="Arial" w:cs="Arial" w:eastAsia="Arial" w:hAnsi="Arial"/>
                <w:sz w:val="12"/>
                <w:szCs w:val="12"/>
                <w:color w:val="auto"/>
              </w:rPr>
              <w:t>Prepaid expenses, prepaid income taxes, and other current assets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(820)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(2,226)</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Accounts payable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6,104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5,811</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2,542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80"/>
              <w:spacing w:after="0" w:line="135" w:lineRule="exact"/>
              <w:rPr>
                <w:sz w:val="20"/>
                <w:szCs w:val="20"/>
                <w:color w:val="auto"/>
              </w:rPr>
            </w:pPr>
            <w:r>
              <w:rPr>
                <w:rFonts w:ascii="Arial" w:cs="Arial" w:eastAsia="Arial" w:hAnsi="Arial"/>
                <w:sz w:val="12"/>
                <w:szCs w:val="12"/>
                <w:color w:val="auto"/>
              </w:rPr>
              <w:t>Accrued expenses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2,469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4,118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489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Deferred revenue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1,856</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1,251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80"/>
              <w:spacing w:after="0" w:line="135" w:lineRule="exact"/>
              <w:rPr>
                <w:sz w:val="20"/>
                <w:szCs w:val="20"/>
                <w:color w:val="auto"/>
              </w:rPr>
            </w:pPr>
            <w:r>
              <w:rPr>
                <w:rFonts w:ascii="Arial" w:cs="Arial" w:eastAsia="Arial" w:hAnsi="Arial"/>
                <w:sz w:val="12"/>
                <w:szCs w:val="12"/>
                <w:color w:val="auto"/>
              </w:rPr>
              <w:t>Deferred rent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4,654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1,927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Accrued income taxes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2,071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80"/>
              <w:spacing w:after="0" w:line="135" w:lineRule="exact"/>
              <w:rPr>
                <w:sz w:val="20"/>
                <w:szCs w:val="20"/>
                <w:color w:val="auto"/>
              </w:rPr>
            </w:pPr>
            <w:r>
              <w:rPr>
                <w:rFonts w:ascii="Arial" w:cs="Arial" w:eastAsia="Arial" w:hAnsi="Arial"/>
                <w:sz w:val="12"/>
                <w:szCs w:val="12"/>
                <w:color w:val="auto"/>
              </w:rPr>
              <w:t>Other non-current liabilities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590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368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cash provided by operating activities</w:t>
            </w:r>
          </w:p>
        </w:tc>
        <w:tc>
          <w:tcPr>
            <w:tcW w:w="50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12,915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20,004</w:t>
            </w: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6,582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10,090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line="124" w:lineRule="exact"/>
              <w:rPr>
                <w:sz w:val="20"/>
                <w:szCs w:val="20"/>
                <w:color w:val="auto"/>
              </w:rPr>
            </w:pPr>
            <w:r>
              <w:rPr>
                <w:rFonts w:ascii="Arial" w:cs="Arial" w:eastAsia="Arial" w:hAnsi="Arial"/>
                <w:sz w:val="12"/>
                <w:szCs w:val="12"/>
                <w:b w:val="1"/>
                <w:bCs w:val="1"/>
                <w:color w:val="auto"/>
              </w:rPr>
              <w:t>Investing Activities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Purchases of property and equipment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(6,353)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(5,846)</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(1,682)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(1,976)</w:t>
            </w: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Capitalization of website development costs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(1,262)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(1,372)</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(473)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Investments in certificates of deposit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(59,774)</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(33,000)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Maturities of certificates of deposit</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26,774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cash used in investing activities</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(7,615)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(51,992)</w:t>
            </w: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(35,155)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(6,149)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line="124" w:lineRule="exact"/>
              <w:rPr>
                <w:sz w:val="20"/>
                <w:szCs w:val="20"/>
                <w:color w:val="auto"/>
              </w:rPr>
            </w:pPr>
            <w:r>
              <w:rPr>
                <w:rFonts w:ascii="Arial" w:cs="Arial" w:eastAsia="Arial" w:hAnsi="Arial"/>
                <w:sz w:val="12"/>
                <w:szCs w:val="12"/>
                <w:b w:val="1"/>
                <w:bCs w:val="1"/>
                <w:color w:val="auto"/>
              </w:rPr>
              <w:t>Financing Activities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Proceeds from issuance of preferred stock, net of issuance costs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67,872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59,732</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Proceeds from exercise of unit options and stock options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Excess tax benefit related to exercise of stock options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821</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Payment of deferred initial public offering costs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paid for repurchase of preferred stock, common stock, and vested options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98"/>
              </w:rPr>
              <w:t>(18,000)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(60,000)</w:t>
            </w: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2"/>
                <w:szCs w:val="12"/>
                <w:color w:val="auto"/>
              </w:rPr>
              <w:t>Net cash provided by financing activities</w:t>
            </w: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49,965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690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Impact of foreign currency on cash, cash equivalents, and restricted cash</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(45)</w:t>
            </w: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(32)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55,265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(31,343)</w:t>
            </w:r>
          </w:p>
        </w:tc>
        <w:tc>
          <w:tcPr>
            <w:tcW w:w="10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(28,531)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3,833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cash equivalents, and restricted cash at beginning of period</w:t>
            </w:r>
          </w:p>
        </w:tc>
        <w:tc>
          <w:tcPr>
            <w:tcW w:w="5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7,598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62,863</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62,863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31,520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180" w:type="dxa"/>
            <w:vAlign w:val="bottom"/>
            <w:gridSpan w:val="2"/>
          </w:tcPr>
          <w:p>
            <w:pPr>
              <w:spacing w:after="0" w:line="124" w:lineRule="exact"/>
              <w:rPr>
                <w:sz w:val="20"/>
                <w:szCs w:val="20"/>
                <w:color w:val="auto"/>
              </w:rPr>
            </w:pPr>
            <w:r>
              <w:rPr>
                <w:rFonts w:ascii="Arial" w:cs="Arial" w:eastAsia="Arial" w:hAnsi="Arial"/>
                <w:sz w:val="12"/>
                <w:szCs w:val="12"/>
                <w:color w:val="auto"/>
              </w:rPr>
              <w:t>Cash, cash equivalents, and restricted cash at end of period</w:t>
            </w:r>
          </w:p>
        </w:tc>
        <w:tc>
          <w:tcPr>
            <w:tcW w:w="5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62,863</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31,520</w:t>
            </w:r>
          </w:p>
        </w:tc>
        <w:tc>
          <w:tcPr>
            <w:tcW w:w="80" w:type="dxa"/>
            <w:vAlign w:val="bottom"/>
          </w:tcPr>
          <w:p>
            <w:pPr>
              <w:spacing w:after="0"/>
              <w:rPr>
                <w:sz w:val="11"/>
                <w:szCs w:val="11"/>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24" w:lineRule="exact"/>
              <w:rPr>
                <w:sz w:val="20"/>
                <w:szCs w:val="20"/>
                <w:color w:val="auto"/>
              </w:rPr>
            </w:pPr>
            <w:r>
              <w:rPr>
                <w:rFonts w:ascii="Arial" w:cs="Arial" w:eastAsia="Arial" w:hAnsi="Arial"/>
                <w:sz w:val="12"/>
                <w:szCs w:val="12"/>
                <w:color w:val="auto"/>
              </w:rPr>
              <w:t>34,332</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35,353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Supplemental disclosure of cash flow information:</w:t>
            </w: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color w:val="auto"/>
              </w:rPr>
              <w:t>Cash paid for income taxes, net of refunds</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316</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2,045</w:t>
            </w: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paid for interest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Unpaid purchases of property and equipment</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476</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1,432</w:t>
            </w: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2,271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Arial" w:cs="Arial" w:eastAsia="Arial" w:hAnsi="Arial"/>
                <w:sz w:val="12"/>
                <w:szCs w:val="12"/>
                <w:color w:val="auto"/>
              </w:rPr>
              <w:t>Unpaid deferred initial public offering costs</w:t>
            </w: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1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1,549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220" w:top="142" w:right="1339" w:bottom="1440" w:gutter="0" w:footer="0" w:header="0"/>
        </w:sectPr>
      </w:pPr>
    </w:p>
    <w:bookmarkStart w:id="178" w:name="page179"/>
    <w:bookmarkEnd w:id="17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CarGurus, Inc.</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Years ended December 31, 2015 and 2016 and the six months ended June 30,</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2016 and 2017</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data, unless otherwise noted)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Business Description</w:t>
      </w:r>
    </w:p>
    <w:p>
      <w:pPr>
        <w:spacing w:after="0" w:line="155"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CarGurus, Inc., or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dealer reputation, and other useful information that aids them in finding "Great Deals from Great Dealers."</w:t>
      </w:r>
    </w:p>
    <w:p>
      <w:pPr>
        <w:spacing w:after="0" w:line="141" w:lineRule="exact"/>
        <w:rPr>
          <w:sz w:val="20"/>
          <w:szCs w:val="20"/>
          <w:color w:val="auto"/>
        </w:rPr>
      </w:pPr>
    </w:p>
    <w:p>
      <w:pPr>
        <w:ind w:right="480" w:firstLine="323"/>
        <w:spacing w:after="0" w:line="239" w:lineRule="auto"/>
        <w:rPr>
          <w:sz w:val="20"/>
          <w:szCs w:val="20"/>
          <w:color w:val="auto"/>
        </w:rPr>
      </w:pPr>
      <w:r>
        <w:rPr>
          <w:rFonts w:ascii="Arial" w:cs="Arial" w:eastAsia="Arial" w:hAnsi="Arial"/>
          <w:sz w:val="12"/>
          <w:szCs w:val="12"/>
          <w:color w:val="auto"/>
        </w:rPr>
        <w:t>The Company is headquartered in Cambridge, Massachusetts and was incorporated in the state of Delaware on June 26, 2015. The Company operates principally in the United States and has also launched marketplaces in Canada, the United Kingdom, and Germany. The Company has wholly owned subsidiaries in the United States, Ireland, and the United Kingdom.</w:t>
      </w:r>
    </w:p>
    <w:p>
      <w:pPr>
        <w:spacing w:after="0" w:line="139" w:lineRule="exact"/>
        <w:rPr>
          <w:sz w:val="20"/>
          <w:szCs w:val="20"/>
          <w:color w:val="auto"/>
        </w:rPr>
      </w:pPr>
    </w:p>
    <w:p>
      <w:pPr>
        <w:ind w:firstLine="326"/>
        <w:spacing w:after="0" w:line="236" w:lineRule="auto"/>
        <w:rPr>
          <w:sz w:val="20"/>
          <w:szCs w:val="20"/>
          <w:color w:val="auto"/>
        </w:rPr>
      </w:pPr>
      <w:r>
        <w:rPr>
          <w:rFonts w:ascii="Arial" w:cs="Arial" w:eastAsia="Arial" w:hAnsi="Arial"/>
          <w:sz w:val="12"/>
          <w:szCs w:val="12"/>
          <w:color w:val="auto"/>
        </w:rPr>
        <w:t>Prior to June 26, 2015, the Company operated as CarGurus LLC and was organized on November 10, 2005 as a limited liability company under the laws of the Commonwealth of Massachusetts. Prior to the conversion into a Delaware corporation, the liability of the members was limited to their respective capital contributions. No member of the Company was personally liable for any obligations of the Company and the Company would dissolve only by (a) the unanimous election of the members to dissolve the Company, or (b) the occurrence of a distribution event, as defined in the Company's second amended and restated operating agreement. In connection with the conversion into a Delaware corporation, the Class A unitholders received an equal number of shares of Class B common stock, the Class B unitholders received an equal number of shares of Series A convertible preferred stock, or Series A Preferred Stock, the Class C unitholders received an equal number of shares of Series B convertible preferred stock, or Series B Preferred Stock, and the Class D unitholders received an equal number of shares of Series C convertible preferred stock, or Series C Preferred Stock. In connection with this conversion, the Company also reclassified members' retained earnings of $1,057, accumulated under CarGurus LLC, to additional paid-in capital of CarGurus, Inc.</w:t>
      </w:r>
    </w:p>
    <w:p>
      <w:pPr>
        <w:spacing w:after="0" w:line="140" w:lineRule="exact"/>
        <w:rPr>
          <w:sz w:val="20"/>
          <w:szCs w:val="20"/>
          <w:color w:val="auto"/>
        </w:rPr>
      </w:pPr>
    </w:p>
    <w:p>
      <w:pPr>
        <w:ind w:right="360" w:firstLine="323"/>
        <w:spacing w:after="0" w:line="281" w:lineRule="auto"/>
        <w:rPr>
          <w:sz w:val="20"/>
          <w:szCs w:val="20"/>
          <w:color w:val="auto"/>
        </w:rPr>
      </w:pPr>
      <w:r>
        <w:rPr>
          <w:rFonts w:ascii="Arial" w:cs="Arial" w:eastAsia="Arial" w:hAnsi="Arial"/>
          <w:sz w:val="11"/>
          <w:szCs w:val="11"/>
          <w:color w:val="auto"/>
        </w:rPr>
        <w:t>The Company is subject to a number of risks and uncertainties common to companies in similar industries and stages of development including, but not limited to, rapid technological changes, competition from substitute products and services from larger companies, customer concentration, management of international activities, protection of proprietary rights, patent litigation, and dependence on key individuals.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55" w:lineRule="exact"/>
        <w:rPr>
          <w:sz w:val="20"/>
          <w:szCs w:val="20"/>
          <w:color w:val="auto"/>
        </w:rPr>
      </w:pPr>
    </w:p>
    <w:p>
      <w:pPr>
        <w:ind w:right="240" w:firstLine="323"/>
        <w:spacing w:after="0" w:line="237" w:lineRule="auto"/>
        <w:rPr>
          <w:sz w:val="20"/>
          <w:szCs w:val="20"/>
          <w:color w:val="auto"/>
        </w:rPr>
      </w:pPr>
      <w:r>
        <w:rPr>
          <w:rFonts w:ascii="Arial" w:cs="Arial" w:eastAsia="Arial" w:hAnsi="Arial"/>
          <w:sz w:val="12"/>
          <w:szCs w:val="12"/>
          <w:color w:val="auto"/>
        </w:rPr>
        <w:t>The accompanying consolidated financial statements reflect the application of certain significant accounting policies as described below and elsewhere in these notes to the consolidated financial statements. The Company believes that a significant accounting policy is one that is both important to the portrayal of the Company's financial condition and results, and requires management's most difficult, subjective, or complex judgments, often as the result of the need to make estimates about the effect of matters that are inherently uncertain.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79" w:name="page180"/>
    <w:bookmarkEnd w:id="17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5" w:lineRule="exact"/>
        <w:rPr>
          <w:sz w:val="20"/>
          <w:szCs w:val="20"/>
          <w:color w:val="auto"/>
        </w:rPr>
      </w:pPr>
    </w:p>
    <w:p>
      <w:pPr>
        <w:jc w:val="both"/>
        <w:ind w:right="420" w:firstLine="323"/>
        <w:spacing w:after="0" w:line="237" w:lineRule="auto"/>
        <w:rPr>
          <w:sz w:val="20"/>
          <w:szCs w:val="20"/>
          <w:color w:val="auto"/>
        </w:rPr>
      </w:pPr>
      <w:r>
        <w:rPr>
          <w:rFonts w:ascii="Arial" w:cs="Arial" w:eastAsia="Arial" w:hAnsi="Arial"/>
          <w:sz w:val="12"/>
          <w:szCs w:val="12"/>
          <w:color w:val="auto"/>
        </w:rPr>
        <w:t>The accompanying consolidated financial statements have been prepared in conformity with accounting principles generally accepted in the United States of America, or GAAP. Any reference in these notes to applicable guidance is meant to refer to the authoritative U.S. generally accepted accounting principles as found in the Accounting Standards Codification, or ASC, and Accounting Standards Update, or ASU, of the Financial Accounting Standards Board, or FASB.</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55" w:lineRule="exact"/>
        <w:rPr>
          <w:sz w:val="20"/>
          <w:szCs w:val="20"/>
          <w:color w:val="auto"/>
        </w:rPr>
      </w:pPr>
    </w:p>
    <w:p>
      <w:pPr>
        <w:ind w:right="660" w:firstLine="323"/>
        <w:spacing w:after="0" w:line="239" w:lineRule="auto"/>
        <w:rPr>
          <w:sz w:val="20"/>
          <w:szCs w:val="20"/>
          <w:color w:val="auto"/>
        </w:rPr>
      </w:pPr>
      <w:r>
        <w:rPr>
          <w:rFonts w:ascii="Arial" w:cs="Arial" w:eastAsia="Arial" w:hAnsi="Arial"/>
          <w:sz w:val="12"/>
          <w:szCs w:val="12"/>
          <w:color w:val="auto"/>
        </w:rPr>
        <w:t>The accompanying consolidated financial statements include the accounts of the Company and its wholly owned subsidiaries. All material intercompany accounts and transactions have been eliminated in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Unaudited Pro Forma Presentation</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unaudited pro forma consolidated balance sheet as of June 30, 2017 and the unaudited pro forma consolidated statement of convertible preferred stock and stockholders' equity for the six months ended June 30,</w:t>
      </w:r>
    </w:p>
    <w:p>
      <w:pPr>
        <w:spacing w:after="0" w:line="9" w:lineRule="exact"/>
        <w:rPr>
          <w:sz w:val="20"/>
          <w:szCs w:val="20"/>
          <w:color w:val="auto"/>
        </w:rPr>
      </w:pPr>
    </w:p>
    <w:p>
      <w:pPr>
        <w:jc w:val="both"/>
        <w:ind w:right="180"/>
        <w:spacing w:after="0" w:line="237" w:lineRule="auto"/>
        <w:rPr>
          <w:sz w:val="20"/>
          <w:szCs w:val="20"/>
          <w:color w:val="auto"/>
        </w:rPr>
      </w:pPr>
      <w:r>
        <w:rPr>
          <w:rFonts w:ascii="Arial" w:cs="Arial" w:eastAsia="Arial" w:hAnsi="Arial"/>
          <w:sz w:val="12"/>
          <w:szCs w:val="12"/>
          <w:color w:val="auto"/>
        </w:rPr>
        <w:t>2017 reflect the automatic conversion of all outstanding shares of convertible preferred stock, based on the shares of convertible preferred stock outstanding at June 30, 2017, into 20,188,226 shares of Class A common stock and 40,376,452 shares of Class B common stock, and the subsequent conversion of such shares of Class B common stock into 40,376,452 shares of Class A common stock, which conversions will occur upon the closing of a Qualified IPO of the Company's common stock, as defined in Note 5.</w:t>
      </w:r>
    </w:p>
    <w:p>
      <w:pPr>
        <w:spacing w:after="0" w:line="141" w:lineRule="exact"/>
        <w:rPr>
          <w:sz w:val="20"/>
          <w:szCs w:val="20"/>
          <w:color w:val="auto"/>
        </w:rPr>
      </w:pPr>
    </w:p>
    <w:p>
      <w:pPr>
        <w:ind w:right="20" w:firstLine="319"/>
        <w:spacing w:after="0" w:line="235" w:lineRule="auto"/>
        <w:rPr>
          <w:sz w:val="20"/>
          <w:szCs w:val="20"/>
          <w:color w:val="auto"/>
        </w:rPr>
      </w:pPr>
      <w:r>
        <w:rPr>
          <w:rFonts w:ascii="Arial" w:cs="Arial" w:eastAsia="Arial" w:hAnsi="Arial"/>
          <w:sz w:val="12"/>
          <w:szCs w:val="12"/>
          <w:color w:val="auto"/>
        </w:rPr>
        <w:t>Additionally, as discussed further below, certain stock-based awards, specifically restricted stock units, or RSUs, granted by the Company are subject to both a service-based vesting condition and a performance-based vesting condition achieved upon a liquidity event, defined as either a change in control or an initial public offering, or IPO. As no shares of common stock will be issued in settlement of the RSUs until six months after the completion of an IPO, these shares have not been included in the pro forma balance sheet disclosures of shares outstanding. Although the performance-based vesting condition will be satisfied upon the completion of an IPO, under the terms of the awards, the settlement of such RSUs and the issuance of common stock with respect to such RSUs, will occur six months after the completion of an IPO. Although the RSUs will be settled six months following an IPO, as the vesting condition occurs on the date of the IPO, this does not affect the expense attribution period for the RSUs for which the service condition has been met as of the date of an IPO. Accordingly, the unaudited pro forma consolidated balance sheet as of June 30, 2017 and the unaudited pro forma consolidated statement of convertible preferred stock and stockholder's equity for the six months ended June 30, 2017 gives effect to stock-based compensation expense of $1,897 associated with these RSUs which would be recorded upon the completion of an IPO, for which the service condition was met as of June 30, 2017. As this is a one-time, non-recurring, stock-based compensation charge on the date of the IPO, this expense has not been included in the disclosure of unaudited pro forma basic and diluted net (loss) income per share.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Unaudited pro forma basic and diluted net (loss) income per share have been computed using the weighted-average number of shares of common stock outstanding after giving pro forma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80" w:name="page181"/>
    <w:bookmarkEnd w:id="18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effect to the conversion of all shares of convertible preferred stock into shares of Class A common stock, as if such conversions had occurred as of the date of original issuance.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Unaudited Interim Financial Information</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accompanying interim consolidated balance sheet as of June 30, 2017; the consolidated statements of operations, comprehensive income, and cash flows for the six months ended June 30, 2016 and 2017; and the consolidated statement of convertible preferred stock and stockholders' deficit for the six months ended June 30, 2017 are unaudited. The unaudited interim consolidated financial statements have been prepared in accordance with GAAP. In the opinion of the Company's management, the unaudited interim consolidated financial statements have been prepared on the same basis as the audited consolidated financial statements and include all adjustments consisting of normal recurring adjustments and accruals necessary for the fair presentation of the Company's financial position at June 30, 2017 and its results of operations, comprehensive income, and its cash flows for the six months ended June 30, 2016 and 2017. The results for the six months ended June 30, 2017 are not necessarily indicative of the results expected for the year ending December 31, 2017, or any future period.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5" w:lineRule="exact"/>
        <w:rPr>
          <w:sz w:val="20"/>
          <w:szCs w:val="20"/>
          <w:color w:val="auto"/>
        </w:rPr>
      </w:pPr>
    </w:p>
    <w:p>
      <w:pPr>
        <w:ind w:right="140" w:firstLine="323"/>
        <w:spacing w:after="0" w:line="239"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39" w:lineRule="exact"/>
        <w:rPr>
          <w:sz w:val="20"/>
          <w:szCs w:val="20"/>
          <w:color w:val="auto"/>
        </w:rPr>
      </w:pPr>
    </w:p>
    <w:p>
      <w:pPr>
        <w:ind w:right="40" w:firstLine="326"/>
        <w:spacing w:after="0" w:line="237" w:lineRule="auto"/>
        <w:rPr>
          <w:sz w:val="20"/>
          <w:szCs w:val="20"/>
          <w:color w:val="auto"/>
        </w:rPr>
      </w:pPr>
      <w:r>
        <w:rPr>
          <w:rFonts w:ascii="Arial" w:cs="Arial" w:eastAsia="Arial" w:hAnsi="Arial"/>
          <w:sz w:val="12"/>
          <w:szCs w:val="12"/>
          <w:color w:val="auto"/>
        </w:rPr>
        <w:t>Significant estimates relied upon in preparing these consolidated financial statements include revenue recognition and revenue reserves, contingent liabilities, allowances for doubtful accounts, expected future cash flows used to evaluate the recoverability of long-lived assets, the expensing and capitalization of product, technology, and development costs for website development and internal-use software, the determination of the fair value of stock awards issued, stock-based compensation expense, and the recoverability of the Company's net deferred tax assets and related valuation allowance.</w:t>
      </w:r>
    </w:p>
    <w:p>
      <w:pPr>
        <w:spacing w:after="0" w:line="141" w:lineRule="exact"/>
        <w:rPr>
          <w:sz w:val="20"/>
          <w:szCs w:val="20"/>
          <w:color w:val="auto"/>
        </w:rPr>
      </w:pPr>
    </w:p>
    <w:p>
      <w:pPr>
        <w:ind w:right="200" w:firstLine="319"/>
        <w:spacing w:after="0" w:line="237" w:lineRule="auto"/>
        <w:rPr>
          <w:sz w:val="20"/>
          <w:szCs w:val="20"/>
          <w:color w:val="auto"/>
        </w:rPr>
      </w:pPr>
      <w:r>
        <w:rPr>
          <w:rFonts w:ascii="Arial" w:cs="Arial" w:eastAsia="Arial" w:hAnsi="Arial"/>
          <w:sz w:val="12"/>
          <w:szCs w:val="12"/>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Subsequent Events Considerations</w:t>
      </w:r>
    </w:p>
    <w:p>
      <w:pPr>
        <w:spacing w:after="0" w:line="155" w:lineRule="exact"/>
        <w:rPr>
          <w:sz w:val="20"/>
          <w:szCs w:val="20"/>
          <w:color w:val="auto"/>
        </w:rPr>
      </w:pPr>
    </w:p>
    <w:p>
      <w:pPr>
        <w:ind w:firstLine="323"/>
        <w:spacing w:after="0" w:line="239" w:lineRule="auto"/>
        <w:rPr>
          <w:sz w:val="20"/>
          <w:szCs w:val="20"/>
          <w:color w:val="auto"/>
        </w:rPr>
      </w:pPr>
      <w:r>
        <w:rPr>
          <w:rFonts w:ascii="Arial" w:cs="Arial" w:eastAsia="Arial" w:hAnsi="Arial"/>
          <w:sz w:val="12"/>
          <w:szCs w:val="12"/>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81" w:name="page182"/>
    <w:bookmarkEnd w:id="18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5" w:lineRule="exact"/>
        <w:rPr>
          <w:sz w:val="20"/>
          <w:szCs w:val="20"/>
          <w:color w:val="auto"/>
        </w:rPr>
      </w:pPr>
    </w:p>
    <w:p>
      <w:pPr>
        <w:ind w:right="100" w:firstLine="323"/>
        <w:spacing w:after="0" w:line="239" w:lineRule="auto"/>
        <w:rPr>
          <w:sz w:val="20"/>
          <w:szCs w:val="20"/>
          <w:color w:val="auto"/>
        </w:rPr>
      </w:pPr>
      <w:r>
        <w:rPr>
          <w:rFonts w:ascii="Arial" w:cs="Arial" w:eastAsia="Arial" w:hAnsi="Arial"/>
          <w:sz w:val="12"/>
          <w:szCs w:val="12"/>
          <w:color w:val="auto"/>
        </w:rPr>
        <w:t>The Company derives its revenue from two primary sources: marketplace subscription revenue, which consists of listing and display advertising subscriptions from dealers, and advertising and other revenue, which consists primarily of display advertising revenue from auto manufacturers and other auto-related brand advertisers.</w:t>
      </w:r>
    </w:p>
    <w:p>
      <w:pPr>
        <w:spacing w:after="0" w:line="139" w:lineRule="exact"/>
        <w:rPr>
          <w:sz w:val="20"/>
          <w:szCs w:val="20"/>
          <w:color w:val="auto"/>
        </w:rPr>
      </w:pPr>
    </w:p>
    <w:p>
      <w:pPr>
        <w:ind w:right="60" w:firstLine="323"/>
        <w:spacing w:after="0" w:line="239" w:lineRule="auto"/>
        <w:rPr>
          <w:sz w:val="20"/>
          <w:szCs w:val="20"/>
          <w:color w:val="auto"/>
        </w:rPr>
      </w:pPr>
      <w:r>
        <w:rPr>
          <w:rFonts w:ascii="Arial" w:cs="Arial" w:eastAsia="Arial" w:hAnsi="Arial"/>
          <w:sz w:val="12"/>
          <w:szCs w:val="12"/>
          <w:color w:val="auto"/>
        </w:rPr>
        <w:t>The Company recognizes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39"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 xml:space="preserve">The Company offers two types of marketplace listing products to dealers, Enhanced or Featured Listing, which require a paid subscription under subscription contracts with initial terms ranging from one month to one year. Contracts for customers generally auto-renew on a monthly basis and are cancellable by dealers with 30-days' notice after the initial term. In addition, the arrangement allows the dealers to access a dashboard to track sales leads and manage its account. Customers do not have the right to take possession of the Company's software. The Company recognizes revenue in accordance with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The Company recognizes revenue on a monthly basis as revenue is earned. These contracts generally provide the customer with an unlimited amount of automobile inventory they can advertise.</w:t>
      </w:r>
    </w:p>
    <w:p>
      <w:pPr>
        <w:spacing w:after="0" w:line="139" w:lineRule="exact"/>
        <w:rPr>
          <w:sz w:val="20"/>
          <w:szCs w:val="20"/>
          <w:color w:val="auto"/>
        </w:rPr>
      </w:pPr>
    </w:p>
    <w:p>
      <w:pPr>
        <w:ind w:right="260" w:firstLine="326"/>
        <w:spacing w:after="0" w:line="237" w:lineRule="auto"/>
        <w:rPr>
          <w:sz w:val="20"/>
          <w:szCs w:val="20"/>
          <w:color w:val="auto"/>
        </w:rPr>
      </w:pPr>
      <w:r>
        <w:rPr>
          <w:rFonts w:ascii="Arial" w:cs="Arial" w:eastAsia="Arial" w:hAnsi="Arial"/>
          <w:sz w:val="12"/>
          <w:szCs w:val="12"/>
          <w:color w:val="auto"/>
        </w:rPr>
        <w:t>In addition to listing dealers' inventory on its marketplace, the Company periodically enters into multiple-element service arrangements that provide dealers with Enhanced or Featured Listing products, as well as other advertising and customer acquisition products including display advertising, which appears on its marketplace and on other sites on the Internet and requires a paid subscription under contracts with initial terms ranging from one month to one year. Contracts for customers generally auto-renew on a monthly basis and are cancellable by dealers with 30-days' notice after the initial term.</w:t>
      </w:r>
    </w:p>
    <w:p>
      <w:pPr>
        <w:spacing w:after="0" w:line="129" w:lineRule="exact"/>
        <w:rPr>
          <w:sz w:val="20"/>
          <w:szCs w:val="20"/>
          <w:color w:val="auto"/>
        </w:rPr>
      </w:pPr>
    </w:p>
    <w:p>
      <w:pPr>
        <w:ind w:firstLine="323"/>
        <w:spacing w:after="0" w:line="268" w:lineRule="auto"/>
        <w:rPr>
          <w:sz w:val="20"/>
          <w:szCs w:val="20"/>
          <w:color w:val="auto"/>
        </w:rPr>
      </w:pPr>
      <w:r>
        <w:rPr>
          <w:rFonts w:ascii="Arial" w:cs="Arial" w:eastAsia="Arial" w:hAnsi="Arial"/>
          <w:sz w:val="11"/>
          <w:szCs w:val="11"/>
          <w:color w:val="auto"/>
        </w:rPr>
        <w:t xml:space="preserve">The Company assesses arrangements with multiple deliverables under ASU No. 2009-13, Revenue Recognition (Topic 605), </w:t>
      </w:r>
      <w:r>
        <w:rPr>
          <w:rFonts w:ascii="Arial" w:cs="Arial" w:eastAsia="Arial" w:hAnsi="Arial"/>
          <w:sz w:val="11"/>
          <w:szCs w:val="11"/>
          <w:i w:val="1"/>
          <w:iCs w:val="1"/>
          <w:color w:val="auto"/>
        </w:rPr>
        <w:t>Multiple-Deliverable Revenue Arrangements — a Consensus of the FASB Emerging</w:t>
      </w:r>
      <w:r>
        <w:rPr>
          <w:rFonts w:ascii="Arial" w:cs="Arial" w:eastAsia="Arial" w:hAnsi="Arial"/>
          <w:sz w:val="11"/>
          <w:szCs w:val="11"/>
          <w:color w:val="auto"/>
        </w:rPr>
        <w:t xml:space="preserve"> </w:t>
      </w:r>
      <w:r>
        <w:rPr>
          <w:rFonts w:ascii="Arial" w:cs="Arial" w:eastAsia="Arial" w:hAnsi="Arial"/>
          <w:sz w:val="11"/>
          <w:szCs w:val="11"/>
          <w:i w:val="1"/>
          <w:iCs w:val="1"/>
          <w:color w:val="auto"/>
        </w:rPr>
        <w:t>Issues Task Force</w:t>
      </w:r>
      <w:r>
        <w:rPr>
          <w:rFonts w:ascii="Arial" w:cs="Arial" w:eastAsia="Arial" w:hAnsi="Arial"/>
          <w:sz w:val="11"/>
          <w:szCs w:val="11"/>
          <w:color w:val="auto"/>
        </w:rPr>
        <w:t>. Pursuant to ASU 2009-13, in order to treat deliverables in a multiple-element arrangement as separate units of accounting, the deliverables must have stand-alone value upon delivery. If the deliverables</w:t>
      </w:r>
      <w:r>
        <w:rPr>
          <w:rFonts w:ascii="Arial" w:cs="Arial" w:eastAsia="Arial" w:hAnsi="Arial"/>
          <w:sz w:val="11"/>
          <w:szCs w:val="11"/>
          <w:i w:val="1"/>
          <w:iCs w:val="1"/>
          <w:color w:val="auto"/>
        </w:rPr>
        <w:t xml:space="preserve"> </w:t>
      </w:r>
      <w:r>
        <w:rPr>
          <w:rFonts w:ascii="Arial" w:cs="Arial" w:eastAsia="Arial" w:hAnsi="Arial"/>
          <w:sz w:val="11"/>
          <w:szCs w:val="11"/>
          <w:color w:val="auto"/>
        </w:rPr>
        <w:t>have stand-alone value upon delivery, the Company accounts for each deliverable separately. The Company has concluded that each element in the arrangement has stand-alone value as the individual services can be sold separately. In addition, there is no right of refund once a service has been delivered. Therefore, the Company has concluded each element of the arrangement is a separate unit of accounting. While these arrangements are considered multiple element-arrangements, the recognition of the units of accounting follow a consistent ratable recognition given the pattern over which services are provided.</w:t>
      </w:r>
    </w:p>
    <w:p>
      <w:pPr>
        <w:spacing w:after="0" w:line="125" w:lineRule="exact"/>
        <w:rPr>
          <w:sz w:val="20"/>
          <w:szCs w:val="20"/>
          <w:color w:val="auto"/>
        </w:rPr>
      </w:pPr>
    </w:p>
    <w:p>
      <w:pPr>
        <w:ind w:right="140" w:firstLine="319"/>
        <w:spacing w:after="0" w:line="239" w:lineRule="auto"/>
        <w:rPr>
          <w:sz w:val="20"/>
          <w:szCs w:val="20"/>
          <w:color w:val="auto"/>
        </w:rPr>
      </w:pPr>
      <w:r>
        <w:rPr>
          <w:rFonts w:ascii="Arial" w:cs="Arial" w:eastAsia="Arial" w:hAnsi="Arial"/>
          <w:sz w:val="12"/>
          <w:szCs w:val="12"/>
          <w:color w:val="auto"/>
        </w:rPr>
        <w:t>Advertising and other revenue consists primarily of non-dealer display advertising revenue from auto manufacturers and other auto-related brand advertisers sold on a cost per thousand impression, or CPM, basis. Impressions are the number of times an advertisement is loaded on a web page. Pricing is primarily based on advertisement size and position on the Company's mobile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82" w:name="page183"/>
    <w:bookmarkEnd w:id="18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applications and websites, and fees are generally billed monthly. The Company recognizes such revenue as impressions are delivered.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does not provide minimum impression guarantees or other types of minimum guarantees in its contracts with customers.</w:t>
      </w:r>
    </w:p>
    <w:p>
      <w:pPr>
        <w:spacing w:after="0" w:line="141" w:lineRule="exact"/>
        <w:rPr>
          <w:sz w:val="20"/>
          <w:szCs w:val="20"/>
          <w:color w:val="auto"/>
        </w:rPr>
      </w:pPr>
    </w:p>
    <w:p>
      <w:pPr>
        <w:jc w:val="both"/>
        <w:ind w:right="20" w:firstLine="323"/>
        <w:spacing w:after="0" w:line="237" w:lineRule="auto"/>
        <w:rPr>
          <w:sz w:val="20"/>
          <w:szCs w:val="20"/>
          <w:color w:val="auto"/>
        </w:rPr>
      </w:pPr>
      <w:r>
        <w:rPr>
          <w:rFonts w:ascii="Arial" w:cs="Arial" w:eastAsia="Arial" w:hAnsi="Arial"/>
          <w:sz w:val="12"/>
          <w:szCs w:val="12"/>
          <w:color w:val="auto"/>
        </w:rPr>
        <w:t>The Company sells advertising directly to auto manufacturers and other auto-related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41"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Revenue from advertising sold directly by the Company to auto manufacturers and other auto-related brand advertisers is recorded on a gross basis predominately because the Company is the primary obligor responsible for fulfilling advertisement delivery, including the acceptability of the services delivered. The Company enters into contractual arrangements directly with advertisers, and is directly responsible for the fulfillment of the contractual terms and any remedy for issues with such fulfillment. The Company also has latitude in establishing the selling price with the advertiser, as the Company sells advertisements at a rate determined at its sole discretion.</w:t>
      </w:r>
    </w:p>
    <w:p>
      <w:pPr>
        <w:spacing w:after="0" w:line="139" w:lineRule="exact"/>
        <w:rPr>
          <w:sz w:val="20"/>
          <w:szCs w:val="20"/>
          <w:color w:val="auto"/>
        </w:rPr>
      </w:pPr>
    </w:p>
    <w:p>
      <w:pPr>
        <w:ind w:right="40" w:firstLine="319"/>
        <w:spacing w:after="0" w:line="236" w:lineRule="auto"/>
        <w:rPr>
          <w:sz w:val="20"/>
          <w:szCs w:val="20"/>
          <w:color w:val="auto"/>
        </w:rPr>
      </w:pPr>
      <w:r>
        <w:rPr>
          <w:rFonts w:ascii="Arial" w:cs="Arial" w:eastAsia="Arial" w:hAnsi="Arial"/>
          <w:sz w:val="12"/>
          <w:szCs w:val="12"/>
          <w:color w:val="auto"/>
        </w:rPr>
        <w:t>Advertising revenue subject to revenue sharing agreements between the Company and advertising exchange partners is recognized based on the net amount of revenue received from the partner predominately because the advertising partner, and not the Company, is the primary obligor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When an advertising exchange partner sells advertisements, the partner is responsible for fulfilling the advertisements, and accordingly, the Company has determined the advertising partner is the primary obligor. Additionally, the Company does not have any latitude in establishing the price with the advertiser for partner-sold advertising.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Revenue is presented net of any taxes collected from customers.</w:t>
      </w:r>
    </w:p>
    <w:p>
      <w:pPr>
        <w:spacing w:after="0" w:line="141"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Company establishes sales allowances at the time of revenue recognition based on its history of adjustments and credits provided to its customers. Sales allowances relate primarily to credits issued for service interruption. In assessing the adequacy of the sales allowance, the Company evaluates its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the Company's estimates. Sales allowances are recorded as a reduction to revenue 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Revenue</w:t>
      </w:r>
    </w:p>
    <w:p>
      <w:pPr>
        <w:spacing w:after="0" w:line="155" w:lineRule="exact"/>
        <w:rPr>
          <w:sz w:val="20"/>
          <w:szCs w:val="20"/>
          <w:color w:val="auto"/>
        </w:rPr>
      </w:pPr>
    </w:p>
    <w:p>
      <w:pPr>
        <w:ind w:right="140" w:firstLine="326"/>
        <w:spacing w:after="0" w:line="239" w:lineRule="auto"/>
        <w:rPr>
          <w:sz w:val="20"/>
          <w:szCs w:val="20"/>
          <w:color w:val="auto"/>
        </w:rPr>
      </w:pPr>
      <w:r>
        <w:rPr>
          <w:rFonts w:ascii="Arial" w:cs="Arial" w:eastAsia="Arial" w:hAnsi="Arial"/>
          <w:sz w:val="12"/>
          <w:szCs w:val="12"/>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183" w:name="page184"/>
    <w:bookmarkEnd w:id="18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2"/>
          <w:szCs w:val="12"/>
          <w:color w:val="auto"/>
        </w:rPr>
        <w:t>Deferred revenue that is expected to be recognized during the succeeding 12-month period and is recorded as current deferred revenue and the remaining portion is recorded as noncurrent in the consolidated balance sheets. All deferred revenue was recorded as current for all periods presented.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Cost of revenue primarily consists of costs related to supporting and hosting the Company's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the Company's property and equipment, and amortization of capitalized website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 and Significant Customers</w:t>
      </w:r>
    </w:p>
    <w:p>
      <w:pPr>
        <w:spacing w:after="0" w:line="155" w:lineRule="exact"/>
        <w:rPr>
          <w:sz w:val="20"/>
          <w:szCs w:val="20"/>
          <w:color w:val="auto"/>
        </w:rPr>
      </w:pPr>
    </w:p>
    <w:p>
      <w:pPr>
        <w:ind w:right="60" w:firstLine="323"/>
        <w:spacing w:after="0" w:line="237" w:lineRule="auto"/>
        <w:rPr>
          <w:sz w:val="20"/>
          <w:szCs w:val="20"/>
          <w:color w:val="auto"/>
        </w:rPr>
      </w:pPr>
      <w:r>
        <w:rPr>
          <w:rFonts w:ascii="Arial" w:cs="Arial" w:eastAsia="Arial" w:hAnsi="Arial"/>
          <w:sz w:val="12"/>
          <w:szCs w:val="12"/>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41" w:lineRule="exact"/>
        <w:rPr>
          <w:sz w:val="20"/>
          <w:szCs w:val="20"/>
          <w:color w:val="auto"/>
        </w:rPr>
      </w:pPr>
    </w:p>
    <w:p>
      <w:pPr>
        <w:ind w:right="200" w:firstLine="326"/>
        <w:spacing w:after="0" w:line="239" w:lineRule="auto"/>
        <w:rPr>
          <w:sz w:val="20"/>
          <w:szCs w:val="20"/>
          <w:color w:val="auto"/>
        </w:rPr>
      </w:pPr>
      <w:r>
        <w:rPr>
          <w:rFonts w:ascii="Arial" w:cs="Arial" w:eastAsia="Arial" w:hAnsi="Arial"/>
          <w:sz w:val="12"/>
          <w:szCs w:val="12"/>
          <w:color w:val="auto"/>
        </w:rPr>
        <w:t>For the year ended December 31, 2015, one customer accounted for 14% of total revenue. For the year ended December 31, 2016, and the six months ended June 30, 2017, no individual customer accounted for more than 10% of total revenue.</w:t>
      </w:r>
    </w:p>
    <w:p>
      <w:pPr>
        <w:spacing w:after="0" w:line="139" w:lineRule="exact"/>
        <w:rPr>
          <w:sz w:val="20"/>
          <w:szCs w:val="20"/>
          <w:color w:val="auto"/>
        </w:rPr>
      </w:pPr>
    </w:p>
    <w:p>
      <w:pPr>
        <w:jc w:val="both"/>
        <w:ind w:right="40" w:firstLine="319"/>
        <w:spacing w:after="0" w:line="237" w:lineRule="auto"/>
        <w:rPr>
          <w:sz w:val="20"/>
          <w:szCs w:val="20"/>
          <w:color w:val="auto"/>
        </w:rPr>
      </w:pPr>
      <w:r>
        <w:rPr>
          <w:rFonts w:ascii="Arial" w:cs="Arial" w:eastAsia="Arial" w:hAnsi="Arial"/>
          <w:sz w:val="12"/>
          <w:szCs w:val="12"/>
          <w:color w:val="auto"/>
        </w:rPr>
        <w:t>As of December 31, 2015, one customer accounted for 51% of net accounts receivable. As of December 31, 2016, two customers accounted for 24% and 15% of net accounts receivable, respectively. As of June 30, 2017, three customers accounted for 17%, 14%, and 11% of net accounts receivable, respectively. No other individual customer accounted for more than 10% of net accounts receivable at December 31, 2015 or 2016, or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Cash Equivalents, and Investments</w:t>
      </w:r>
    </w:p>
    <w:p>
      <w:pPr>
        <w:spacing w:after="0" w:line="155" w:lineRule="exact"/>
        <w:rPr>
          <w:sz w:val="20"/>
          <w:szCs w:val="20"/>
          <w:color w:val="auto"/>
        </w:rPr>
      </w:pPr>
    </w:p>
    <w:p>
      <w:pPr>
        <w:ind w:right="20" w:firstLine="323"/>
        <w:spacing w:after="0" w:line="237"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short-term investments, while investments with maturities in excess of one year from the balance sheet date are classified as long-term investments. Management determines the appropriate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184" w:name="page185"/>
    <w:bookmarkEnd w:id="18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classification of investments at the time of purchase, and re-evaluates such determination at each balance sheet date.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Cash and cash equivalents primarily consist of cash on deposit with banks, and amounts held in interest-bearing money market accounts. The Company did not have any cash equivalents at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Cash equivalents are carried at cost, which approximates their fair market value.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investment policy, which was approved by the Company's board of directors, or the Board, permits investments in fixed income securities denominated and payable in U.S. dollars, including U.S.</w:t>
      </w:r>
    </w:p>
    <w:p>
      <w:pPr>
        <w:spacing w:after="0"/>
        <w:rPr>
          <w:sz w:val="20"/>
          <w:szCs w:val="20"/>
          <w:color w:val="auto"/>
        </w:rPr>
      </w:pPr>
      <w:r>
        <w:rPr>
          <w:rFonts w:ascii="Arial" w:cs="Arial" w:eastAsia="Arial" w:hAnsi="Arial"/>
          <w:sz w:val="12"/>
          <w:szCs w:val="12"/>
          <w:color w:val="auto"/>
        </w:rPr>
        <w:t>government and agency securities, non-U.S. government securities, money market instruments, commercial paper, certificates of deposit, corporate bonds, and asset-backed securities.</w:t>
      </w:r>
    </w:p>
    <w:p>
      <w:pPr>
        <w:spacing w:after="0" w:line="141" w:lineRule="exact"/>
        <w:rPr>
          <w:sz w:val="20"/>
          <w:szCs w:val="20"/>
          <w:color w:val="auto"/>
        </w:rPr>
      </w:pPr>
    </w:p>
    <w:p>
      <w:pPr>
        <w:ind w:right="120" w:firstLine="319"/>
        <w:spacing w:after="0" w:line="237" w:lineRule="auto"/>
        <w:rPr>
          <w:sz w:val="20"/>
          <w:szCs w:val="20"/>
          <w:color w:val="auto"/>
        </w:rPr>
      </w:pPr>
      <w:r>
        <w:rPr>
          <w:rFonts w:ascii="Arial" w:cs="Arial" w:eastAsia="Arial" w:hAnsi="Arial"/>
          <w:sz w:val="12"/>
          <w:szCs w:val="12"/>
          <w:color w:val="auto"/>
        </w:rPr>
        <w:t>As of December 31, 2016 and June 30, 2017, investments consisted of U.S. certificates of deposits, or CDs, with maturities ranging from three to twelve months. The Company did not have any investments at December 31, 2015. The Company classifies CDs with readily determinable market values as held-to-maturity, because it is the Company's intention to hold such investments until they mature. As such, investments were recorded at amortized cost at December 31, 2016 and June 30, 2017. The Company adjusts the cost of investments for amortization of premiums and accretion of discounts to maturity. The Company includes such amortization and accretion in interest income (expense).</w:t>
      </w:r>
    </w:p>
    <w:p>
      <w:pPr>
        <w:spacing w:after="0" w:line="139"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Realized gains and losses from sales of the Company's investments are included in other (expense) income, net. There were no realized gains or losses on investments for the year ended December 31, 2016 or the six months ended June 30, 2017.</w:t>
      </w:r>
    </w:p>
    <w:p>
      <w:pPr>
        <w:spacing w:after="0" w:line="139" w:lineRule="exact"/>
        <w:rPr>
          <w:sz w:val="20"/>
          <w:szCs w:val="20"/>
          <w:color w:val="auto"/>
        </w:rPr>
      </w:pPr>
    </w:p>
    <w:p>
      <w:pPr>
        <w:ind w:right="20" w:firstLine="323"/>
        <w:spacing w:after="0" w:line="236" w:lineRule="auto"/>
        <w:rPr>
          <w:sz w:val="20"/>
          <w:szCs w:val="20"/>
          <w:color w:val="auto"/>
        </w:rPr>
      </w:pPr>
      <w:r>
        <w:rPr>
          <w:rFonts w:ascii="Arial" w:cs="Arial" w:eastAsia="Arial" w:hAnsi="Arial"/>
          <w:sz w:val="12"/>
          <w:szCs w:val="12"/>
          <w:color w:val="auto"/>
        </w:rPr>
        <w:t>The Company reviews investments for other-than-temporary impairment whenever the fair value of an investment is less than the amortized cost and evidence indicates that an investment's carrying amount is not recoverable within a reasonable period of time. Other-than-temporary impairments of investments are recognized in the consolidated statements of operations if the Company has experienced a credit loss, has the intent to sell the investment,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2016 and June 30, 2017, the Company determined that no other-than-temporary impairments were required to be recognized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155" w:lineRule="exact"/>
        <w:rPr>
          <w:sz w:val="20"/>
          <w:szCs w:val="20"/>
          <w:color w:val="auto"/>
        </w:rPr>
      </w:pPr>
    </w:p>
    <w:p>
      <w:pPr>
        <w:ind w:firstLine="319"/>
        <w:spacing w:after="0" w:line="237" w:lineRule="auto"/>
        <w:rPr>
          <w:sz w:val="20"/>
          <w:szCs w:val="20"/>
          <w:color w:val="auto"/>
        </w:rPr>
      </w:pPr>
      <w:r>
        <w:rPr>
          <w:rFonts w:ascii="Arial" w:cs="Arial" w:eastAsia="Arial" w:hAnsi="Arial"/>
          <w:sz w:val="12"/>
          <w:szCs w:val="12"/>
          <w:color w:val="auto"/>
        </w:rPr>
        <w:t>At December 31, 2015 and 2016, and June 30, 2017, restricted cash was $1,500, $2,044, and $2,044, respectively, and was held at a financial institution in an interest-bearing cash account as collateral for two letters of credit related to the contractual provisions of the Company's building lease security deposits. As of December 31, 2015, of the $1,500 of restricted cash, $500 was classified under current assets as this amount was released in 2016 based on the terms of the lease agreement. As of December 31, 2016 and June 30, 2017, the restricted cash is classified as a long-term asset.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85" w:name="page186"/>
    <w:bookmarkEnd w:id="18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 and Allowance for Doubtful Accounts</w:t>
      </w:r>
    </w:p>
    <w:p>
      <w:pPr>
        <w:spacing w:after="0" w:line="155" w:lineRule="exact"/>
        <w:rPr>
          <w:sz w:val="20"/>
          <w:szCs w:val="20"/>
          <w:color w:val="auto"/>
        </w:rPr>
      </w:pPr>
    </w:p>
    <w:p>
      <w:pPr>
        <w:ind w:right="40" w:firstLine="319"/>
        <w:spacing w:after="0" w:line="236" w:lineRule="auto"/>
        <w:rPr>
          <w:sz w:val="20"/>
          <w:szCs w:val="20"/>
          <w:color w:val="auto"/>
        </w:rPr>
      </w:pPr>
      <w:r>
        <w:rPr>
          <w:rFonts w:ascii="Arial" w:cs="Arial" w:eastAsia="Arial" w:hAnsi="Arial"/>
          <w:sz w:val="12"/>
          <w:szCs w:val="12"/>
          <w:color w:val="auto"/>
        </w:rPr>
        <w:t>Accounts receivable are recorded based on the amount due from the customer and do not bear interest. The Company offsets gross trade accounts receivable with an allowance for doubtful accounts. The allowance for doubtful accounts is the Company's best estimate of the amount of probable credit losses in the Company's existing accounts receivable and is based upon historical loss patterns, the number of days that billings are past due, and an evaluation of the potential risk of loss associated with specific accounts. Account balances are charged against the allowance after all means of collection have been exhausted and the potential for recovery is considered remote. The Company does not have any off-balance sheet credit exposure related to its customers. Provisions for allowances for doubtful accounts are recorded in general and administrative expense.</w:t>
      </w:r>
    </w:p>
    <w:p>
      <w:pPr>
        <w:spacing w:after="0" w:line="141" w:lineRule="exact"/>
        <w:rPr>
          <w:sz w:val="20"/>
          <w:szCs w:val="20"/>
          <w:color w:val="auto"/>
        </w:rPr>
      </w:pPr>
    </w:p>
    <w:p>
      <w:pPr>
        <w:ind w:right="100" w:firstLine="323"/>
        <w:spacing w:after="0" w:line="239" w:lineRule="auto"/>
        <w:rPr>
          <w:sz w:val="20"/>
          <w:szCs w:val="20"/>
          <w:color w:val="auto"/>
        </w:rPr>
      </w:pPr>
      <w:r>
        <w:rPr>
          <w:rFonts w:ascii="Arial" w:cs="Arial" w:eastAsia="Arial" w:hAnsi="Arial"/>
          <w:sz w:val="12"/>
          <w:szCs w:val="12"/>
          <w:color w:val="auto"/>
        </w:rPr>
        <w:t>The Company considers current economic trends when evaluating the adequacy of the allowance for doubtful accounts. If circumstances relating to specific customers change, or unanticipated changes occur in the general business environment, the Company's estimates of the recoverability of receivables could be further adjusted.</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Below is a summary of the changes in the Company's allowance for doubtful accounts for the years ended December 31, 2015 and 2016, and the six months ended June 30, 2017:</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8"/>
              </w:rPr>
              <w:t>Balance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5"/>
              </w:rPr>
              <w:t>Beginning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color w:val="auto"/>
                <w:w w:val="97"/>
              </w:rPr>
              <w:t>Write-offs, net 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Balance at</w:t>
            </w:r>
          </w:p>
        </w:tc>
      </w:tr>
      <w:tr>
        <w:trPr>
          <w:trHeight w:val="133"/>
        </w:trPr>
        <w:tc>
          <w:tcPr>
            <w:tcW w:w="3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Period</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Provision</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left="1"/>
              <w:spacing w:after="0" w:line="133" w:lineRule="exact"/>
              <w:rPr>
                <w:sz w:val="20"/>
                <w:szCs w:val="20"/>
                <w:color w:val="auto"/>
              </w:rPr>
            </w:pPr>
            <w:r>
              <w:rPr>
                <w:rFonts w:ascii="Arial" w:cs="Arial" w:eastAsia="Arial" w:hAnsi="Arial"/>
                <w:sz w:val="12"/>
                <w:szCs w:val="12"/>
                <w:color w:val="auto"/>
                <w:w w:val="97"/>
              </w:rPr>
              <w:t>recoveries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End of Period</w:t>
            </w:r>
          </w:p>
        </w:tc>
        <w:tc>
          <w:tcPr>
            <w:tcW w:w="120" w:type="dxa"/>
            <w:vAlign w:val="bottom"/>
          </w:tcPr>
          <w:p>
            <w:pPr>
              <w:spacing w:after="0"/>
              <w:rPr>
                <w:sz w:val="11"/>
                <w:szCs w:val="11"/>
                <w:color w:val="auto"/>
              </w:rPr>
            </w:pPr>
          </w:p>
        </w:tc>
      </w:tr>
      <w:tr>
        <w:trPr>
          <w:trHeight w:val="133"/>
        </w:trPr>
        <w:tc>
          <w:tcPr>
            <w:tcW w:w="34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Year ended December 31, 2015</w:t>
            </w:r>
          </w:p>
        </w:tc>
        <w:tc>
          <w:tcPr>
            <w:tcW w:w="18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w:t>
            </w:r>
          </w:p>
        </w:tc>
        <w:tc>
          <w:tcPr>
            <w:tcW w:w="2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284</w:t>
            </w:r>
          </w:p>
        </w:tc>
        <w:tc>
          <w:tcPr>
            <w:tcW w:w="2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(239)</w:t>
            </w:r>
          </w:p>
        </w:tc>
        <w:tc>
          <w:tcPr>
            <w:tcW w:w="2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11"/>
                <w:szCs w:val="1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2"/>
                <w:szCs w:val="12"/>
                <w:color w:val="auto"/>
              </w:rPr>
              <w:t>Year ended December 31, 2016</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(419)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164</w:t>
            </w:r>
          </w:p>
        </w:tc>
        <w:tc>
          <w:tcPr>
            <w:tcW w:w="120" w:type="dxa"/>
            <w:vAlign w:val="bottom"/>
          </w:tcPr>
          <w:p>
            <w:pPr>
              <w:spacing w:after="0"/>
              <w:rPr>
                <w:sz w:val="11"/>
                <w:szCs w:val="1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Six months ended June 30, 2017</w:t>
            </w: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(361)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w:t>
            </w:r>
          </w:p>
        </w:tc>
        <w:tc>
          <w:tcPr>
            <w:tcW w:w="120" w:type="dxa"/>
            <w:vAlign w:val="bottom"/>
            <w:shd w:val="clear" w:color="auto" w:fill="CCEEFF"/>
          </w:tcPr>
          <w:p>
            <w:pPr>
              <w:spacing w:after="0"/>
              <w:rPr>
                <w:sz w:val="11"/>
                <w:szCs w:val="1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55" w:lineRule="exact"/>
        <w:rPr>
          <w:sz w:val="20"/>
          <w:szCs w:val="20"/>
          <w:color w:val="auto"/>
        </w:rPr>
      </w:pPr>
    </w:p>
    <w:p>
      <w:pPr>
        <w:ind w:firstLine="326"/>
        <w:spacing w:after="0" w:line="239" w:lineRule="auto"/>
        <w:rPr>
          <w:sz w:val="20"/>
          <w:szCs w:val="20"/>
          <w:color w:val="auto"/>
        </w:rPr>
      </w:pPr>
      <w:r>
        <w:rPr>
          <w:rFonts w:ascii="Arial" w:cs="Arial" w:eastAsia="Arial" w:hAnsi="Arial"/>
          <w:sz w:val="12"/>
          <w:szCs w:val="12"/>
          <w:color w:val="auto"/>
        </w:rPr>
        <w:t>Property and equipment are stated at cost less accumulated depreciation and amortization using the straight-line method over the estimated useful lives of the assets. Leasehold improvements are amortized over the shorter of the lease term or the estimated useful life of the related asset. The estimated useful lives of the Company's property and equipment are as follows: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5000" w:type="dxa"/>
            <w:vAlign w:val="bottom"/>
            <w:gridSpan w:val="2"/>
          </w:tcPr>
          <w:p>
            <w:pPr>
              <w:jc w:val="center"/>
              <w:ind w:right="60"/>
              <w:spacing w:after="0"/>
              <w:rPr>
                <w:sz w:val="20"/>
                <w:szCs w:val="20"/>
                <w:color w:val="auto"/>
              </w:rPr>
            </w:pPr>
            <w:r>
              <w:rPr>
                <w:rFonts w:ascii="Arial" w:cs="Arial" w:eastAsia="Arial" w:hAnsi="Arial"/>
                <w:sz w:val="12"/>
                <w:szCs w:val="12"/>
                <w:color w:val="auto"/>
                <w:w w:val="96"/>
              </w:rPr>
              <w:t>Estimated Useful Life</w:t>
            </w:r>
          </w:p>
        </w:tc>
      </w:tr>
      <w:tr>
        <w:trPr>
          <w:trHeight w:val="133"/>
        </w:trPr>
        <w:tc>
          <w:tcPr>
            <w:tcW w:w="4200" w:type="dxa"/>
            <w:vAlign w:val="bottom"/>
          </w:tcPr>
          <w:p>
            <w:pPr>
              <w:spacing w:after="0"/>
              <w:rPr>
                <w:sz w:val="11"/>
                <w:szCs w:val="11"/>
                <w:color w:val="auto"/>
              </w:rPr>
            </w:pPr>
          </w:p>
        </w:tc>
        <w:tc>
          <w:tcPr>
            <w:tcW w:w="5000" w:type="dxa"/>
            <w:vAlign w:val="bottom"/>
            <w:gridSpan w:val="2"/>
          </w:tcPr>
          <w:p>
            <w:pPr>
              <w:jc w:val="center"/>
              <w:ind w:right="60"/>
              <w:spacing w:after="0" w:line="133" w:lineRule="exact"/>
              <w:rPr>
                <w:sz w:val="20"/>
                <w:szCs w:val="20"/>
                <w:color w:val="auto"/>
              </w:rPr>
            </w:pPr>
            <w:r>
              <w:rPr>
                <w:rFonts w:ascii="Arial" w:cs="Arial" w:eastAsia="Arial" w:hAnsi="Arial"/>
                <w:sz w:val="12"/>
                <w:szCs w:val="12"/>
                <w:color w:val="auto"/>
                <w:w w:val="94"/>
              </w:rPr>
              <w:t>(In Years)</w:t>
            </w:r>
          </w:p>
        </w:tc>
      </w:tr>
      <w:tr>
        <w:trPr>
          <w:trHeight w:val="133"/>
        </w:trPr>
        <w:tc>
          <w:tcPr>
            <w:tcW w:w="4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Computer equipment</w:t>
            </w:r>
          </w:p>
        </w:tc>
        <w:tc>
          <w:tcPr>
            <w:tcW w:w="4880" w:type="dxa"/>
            <w:vAlign w:val="bottom"/>
            <w:tcBorders>
              <w:top w:val="single" w:sz="8" w:color="auto"/>
            </w:tcBorders>
            <w:shd w:val="clear" w:color="auto" w:fill="CCEEFF"/>
          </w:tcPr>
          <w:p>
            <w:pPr>
              <w:jc w:val="center"/>
              <w:ind w:left="1"/>
              <w:spacing w:after="0" w:line="133" w:lineRule="exact"/>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1"/>
                <w:szCs w:val="1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Software</w:t>
            </w:r>
          </w:p>
        </w:tc>
        <w:tc>
          <w:tcPr>
            <w:tcW w:w="4880" w:type="dxa"/>
            <w:vAlign w:val="bottom"/>
          </w:tcPr>
          <w:p>
            <w:pPr>
              <w:jc w:val="center"/>
              <w:ind w:left="1"/>
              <w:spacing w:after="0" w:line="135" w:lineRule="exact"/>
              <w:rPr>
                <w:sz w:val="20"/>
                <w:szCs w:val="20"/>
                <w:color w:val="auto"/>
              </w:rPr>
            </w:pPr>
            <w:r>
              <w:rPr>
                <w:rFonts w:ascii="Arial" w:cs="Arial" w:eastAsia="Arial" w:hAnsi="Arial"/>
                <w:sz w:val="12"/>
                <w:szCs w:val="12"/>
                <w:color w:val="auto"/>
                <w:w w:val="89"/>
              </w:rPr>
              <w:t>3</w:t>
            </w:r>
          </w:p>
        </w:tc>
        <w:tc>
          <w:tcPr>
            <w:tcW w:w="120" w:type="dxa"/>
            <w:vAlign w:val="bottom"/>
          </w:tcPr>
          <w:p>
            <w:pPr>
              <w:spacing w:after="0"/>
              <w:rPr>
                <w:sz w:val="11"/>
                <w:szCs w:val="1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Website development costs</w:t>
            </w:r>
          </w:p>
        </w:tc>
        <w:tc>
          <w:tcPr>
            <w:tcW w:w="4880" w:type="dxa"/>
            <w:vAlign w:val="bottom"/>
            <w:shd w:val="clear" w:color="auto" w:fill="CCEEFF"/>
          </w:tcPr>
          <w:p>
            <w:pPr>
              <w:jc w:val="center"/>
              <w:ind w:left="1"/>
              <w:spacing w:after="0" w:line="135" w:lineRule="exact"/>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1"/>
                <w:szCs w:val="1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Furniture and fixtures</w:t>
            </w:r>
          </w:p>
        </w:tc>
        <w:tc>
          <w:tcPr>
            <w:tcW w:w="4880" w:type="dxa"/>
            <w:vAlign w:val="bottom"/>
          </w:tcPr>
          <w:p>
            <w:pPr>
              <w:jc w:val="center"/>
              <w:ind w:left="1"/>
              <w:spacing w:after="0" w:line="135" w:lineRule="exact"/>
              <w:rPr>
                <w:sz w:val="20"/>
                <w:szCs w:val="20"/>
                <w:color w:val="auto"/>
              </w:rPr>
            </w:pPr>
            <w:r>
              <w:rPr>
                <w:rFonts w:ascii="Arial" w:cs="Arial" w:eastAsia="Arial" w:hAnsi="Arial"/>
                <w:sz w:val="12"/>
                <w:szCs w:val="12"/>
                <w:color w:val="auto"/>
                <w:w w:val="89"/>
              </w:rPr>
              <w:t>5</w:t>
            </w:r>
          </w:p>
        </w:tc>
        <w:tc>
          <w:tcPr>
            <w:tcW w:w="120" w:type="dxa"/>
            <w:vAlign w:val="bottom"/>
          </w:tcPr>
          <w:p>
            <w:pPr>
              <w:spacing w:after="0"/>
              <w:rPr>
                <w:sz w:val="11"/>
                <w:szCs w:val="11"/>
                <w:color w:val="auto"/>
              </w:rPr>
            </w:pPr>
          </w:p>
        </w:tc>
      </w:tr>
      <w:tr>
        <w:trPr>
          <w:trHeight w:val="135"/>
        </w:trPr>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Leasehold improvements</w:t>
            </w:r>
          </w:p>
        </w:tc>
        <w:tc>
          <w:tcPr>
            <w:tcW w:w="500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8"/>
              </w:rPr>
              <w:t>Lesser of asset life or lease term</w:t>
            </w:r>
          </w:p>
        </w:tc>
      </w:tr>
    </w:tbl>
    <w:p>
      <w:pPr>
        <w:spacing w:after="0" w:line="146" w:lineRule="exact"/>
        <w:rPr>
          <w:sz w:val="20"/>
          <w:szCs w:val="20"/>
          <w:color w:val="auto"/>
        </w:rPr>
      </w:pPr>
    </w:p>
    <w:p>
      <w:pPr>
        <w:ind w:right="120" w:firstLine="326"/>
        <w:spacing w:after="0" w:line="239" w:lineRule="auto"/>
        <w:rPr>
          <w:sz w:val="20"/>
          <w:szCs w:val="20"/>
          <w:color w:val="auto"/>
        </w:rPr>
      </w:pPr>
      <w:r>
        <w:rPr>
          <w:rFonts w:ascii="Arial" w:cs="Arial" w:eastAsia="Arial" w:hAnsi="Arial"/>
          <w:sz w:val="12"/>
          <w:szCs w:val="12"/>
          <w:color w:val="auto"/>
        </w:rPr>
        <w:t>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In these instances, the Company recognizes 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86" w:name="page187"/>
    <w:bookmarkEnd w:id="186"/>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impairment loss when it is probable that the estimated cash flows are less than the carrying value of the asset.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Translation</w:t>
      </w:r>
    </w:p>
    <w:p>
      <w:pPr>
        <w:spacing w:after="0" w:line="155" w:lineRule="exact"/>
        <w:rPr>
          <w:sz w:val="20"/>
          <w:szCs w:val="20"/>
          <w:color w:val="auto"/>
        </w:rPr>
      </w:pPr>
    </w:p>
    <w:p>
      <w:pPr>
        <w:ind w:right="180" w:firstLine="323"/>
        <w:spacing w:after="0" w:line="262" w:lineRule="auto"/>
        <w:rPr>
          <w:sz w:val="20"/>
          <w:szCs w:val="20"/>
          <w:color w:val="auto"/>
        </w:rPr>
      </w:pPr>
      <w:r>
        <w:rPr>
          <w:rFonts w:ascii="Arial" w:cs="Arial" w:eastAsia="Arial" w:hAnsi="Arial"/>
          <w:sz w:val="11"/>
          <w:szCs w:val="11"/>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(1) asset and liability accounts at period-end rates; (2) income statement accounts at weighted-average exchange rates for the period; and (3) stockholders' equity accounts at historical exchange rates. The resulting translation adjustments are excluded from income (loss) and reflected as a separate component of stockholders' equity (deficit). Foreign currency transaction gains and losses are included in net income (loss) for the period. The Company may periodically have certain intercompany foreign currency transactions that are deemed to be of a long-term investment nature; exchange adjustments related to those transactions are made directly to a separate component of stockholders' equity (deficit).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Capitalized Website and Software Development Costs</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Company capitalizes certain costs associated with the development of its websites and internal-use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with the relevant authority, authorizes and commits to the funding of the software project; it is probable the project will be completed; the software will be used to perform the functions intended; and certain functional and quality standards have been met. Qualified costs incurred during the operating stage of the Company's software applications relating to upgrades and enhancements are capitalized to the extent it is probable that they will result in added functionality, while costs that cannot be separated between maintenance of, and minor upgrades and enhancements to, internal-use software are expensed as incurred.</w:t>
      </w:r>
    </w:p>
    <w:p>
      <w:pPr>
        <w:spacing w:after="0" w:line="141"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Capitalized website development costs and software development costs are amortized on a straight-line basis over their estimated useful life of three years. Management evaluates the useful lives of these assets on an annual basis and tests for impairment whenever events or changes in circumstances occur that could impact the recoverability of these assets.</w:t>
      </w:r>
    </w:p>
    <w:p>
      <w:pPr>
        <w:spacing w:after="0" w:line="139" w:lineRule="exact"/>
        <w:rPr>
          <w:sz w:val="20"/>
          <w:szCs w:val="20"/>
          <w:color w:val="auto"/>
        </w:rPr>
      </w:pPr>
    </w:p>
    <w:p>
      <w:pPr>
        <w:ind w:right="320" w:firstLine="326"/>
        <w:spacing w:after="0" w:line="239" w:lineRule="auto"/>
        <w:rPr>
          <w:sz w:val="20"/>
          <w:szCs w:val="20"/>
          <w:color w:val="auto"/>
        </w:rPr>
      </w:pPr>
      <w:r>
        <w:rPr>
          <w:rFonts w:ascii="Arial" w:cs="Arial" w:eastAsia="Arial" w:hAnsi="Arial"/>
          <w:sz w:val="12"/>
          <w:szCs w:val="12"/>
          <w:color w:val="auto"/>
        </w:rPr>
        <w:t>During the years ended December 31, 2015 and 2016, the Company capitalized $1,262 and $1,372 of website development costs, respectively. The Company recorded amortization expense associated with its capitalized website development costs of $153 and $343 for the years ended December 31, 2015 and 2016, respectively.</w:t>
      </w:r>
    </w:p>
    <w:p>
      <w:pPr>
        <w:spacing w:after="0" w:line="139" w:lineRule="exact"/>
        <w:rPr>
          <w:sz w:val="20"/>
          <w:szCs w:val="20"/>
          <w:color w:val="auto"/>
        </w:rPr>
      </w:pPr>
    </w:p>
    <w:p>
      <w:pPr>
        <w:ind w:right="500" w:firstLine="326"/>
        <w:spacing w:after="0" w:line="239" w:lineRule="auto"/>
        <w:rPr>
          <w:sz w:val="20"/>
          <w:szCs w:val="20"/>
          <w:color w:val="auto"/>
        </w:rPr>
      </w:pPr>
      <w:r>
        <w:rPr>
          <w:rFonts w:ascii="Arial" w:cs="Arial" w:eastAsia="Arial" w:hAnsi="Arial"/>
          <w:sz w:val="12"/>
          <w:szCs w:val="12"/>
          <w:color w:val="auto"/>
        </w:rPr>
        <w:t>During the six months ended June 30, 2016 and 2017, the Company capitalized $473 and $947, respectively, of website development costs. The Company recorded amortization expense associated with its capitalized website development costs of $171 and $291 for the six months ended June 30, 2016 and 2017,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87" w:name="page188"/>
    <w:bookmarkEnd w:id="18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Company evaluates the recoverability of long-lived assets, such as property and equipment, for impairment whenever events or changes in circumstances indicate that the carrying value of an asset may not be recoverable. During this review, the Company re-evaluates the significant assumptions used in determining the original cost and estimated lives of long-lived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the years ended December 31, 2015 and 2016 and the six months ended June 30, 2017, the Company did not identify any impairment of its long-lived assets.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5" w:lineRule="exact"/>
        <w:rPr>
          <w:sz w:val="20"/>
          <w:szCs w:val="20"/>
          <w:color w:val="auto"/>
        </w:rPr>
      </w:pPr>
    </w:p>
    <w:p>
      <w:pPr>
        <w:ind w:right="80" w:firstLine="323"/>
        <w:spacing w:after="0" w:line="237" w:lineRule="auto"/>
        <w:rPr>
          <w:sz w:val="20"/>
          <w:szCs w:val="20"/>
          <w:color w:val="auto"/>
        </w:rPr>
      </w:pPr>
      <w:r>
        <w:rPr>
          <w:rFonts w:ascii="Arial" w:cs="Arial" w:eastAsia="Arial" w:hAnsi="Arial"/>
          <w:sz w:val="12"/>
          <w:szCs w:val="12"/>
          <w:color w:val="auto"/>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41" w:lineRule="exact"/>
        <w:rPr>
          <w:sz w:val="20"/>
          <w:szCs w:val="20"/>
          <w:color w:val="auto"/>
        </w:rPr>
      </w:pPr>
    </w:p>
    <w:p>
      <w:pPr>
        <w:ind w:right="260" w:firstLine="323"/>
        <w:spacing w:after="0" w:line="239" w:lineRule="auto"/>
        <w:rPr>
          <w:sz w:val="20"/>
          <w:szCs w:val="20"/>
          <w:color w:val="auto"/>
        </w:rPr>
      </w:pPr>
      <w:r>
        <w:rPr>
          <w:rFonts w:ascii="Arial" w:cs="Arial" w:eastAsia="Arial" w:hAnsi="Arial"/>
          <w:sz w:val="12"/>
          <w:szCs w:val="12"/>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Company has no recorded liabilities for uncertain tax positions as of December 31, 2015 or 2016, or June 30, 2017.</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Disclosure of Fair Value of Financial Instruments</w:t>
      </w:r>
    </w:p>
    <w:p>
      <w:pPr>
        <w:spacing w:after="0" w:line="155" w:lineRule="exact"/>
        <w:rPr>
          <w:sz w:val="20"/>
          <w:szCs w:val="20"/>
          <w:color w:val="auto"/>
        </w:rPr>
      </w:pPr>
    </w:p>
    <w:p>
      <w:pPr>
        <w:ind w:right="80" w:firstLine="323"/>
        <w:spacing w:after="0" w:line="239" w:lineRule="auto"/>
        <w:rPr>
          <w:sz w:val="20"/>
          <w:szCs w:val="20"/>
          <w:color w:val="auto"/>
        </w:rPr>
      </w:pPr>
      <w:r>
        <w:rPr>
          <w:rFonts w:ascii="Arial" w:cs="Arial" w:eastAsia="Arial" w:hAnsi="Arial"/>
          <w:sz w:val="12"/>
          <w:szCs w:val="12"/>
          <w:color w:val="auto"/>
        </w:rPr>
        <w:t>The carrying amounts of the Company's financial instruments, which include cash and cash equivalents, investments, accounts receivable, accounts payable, and accrued expenses, approximated their fair values at December 31, 2015 and 2016, and at June 30, 2017 due to the short-term nature of these instruments.</w:t>
      </w:r>
    </w:p>
    <w:p>
      <w:pPr>
        <w:spacing w:after="0" w:line="139" w:lineRule="exact"/>
        <w:rPr>
          <w:sz w:val="20"/>
          <w:szCs w:val="20"/>
          <w:color w:val="auto"/>
        </w:rPr>
      </w:pPr>
    </w:p>
    <w:p>
      <w:pPr>
        <w:ind w:right="120" w:firstLine="323"/>
        <w:spacing w:after="0" w:line="239" w:lineRule="auto"/>
        <w:rPr>
          <w:sz w:val="20"/>
          <w:szCs w:val="20"/>
          <w:color w:val="auto"/>
        </w:rPr>
      </w:pPr>
      <w:r>
        <w:rPr>
          <w:rFonts w:ascii="Arial" w:cs="Arial" w:eastAsia="Arial" w:hAnsi="Arial"/>
          <w:sz w:val="12"/>
          <w:szCs w:val="12"/>
          <w:color w:val="auto"/>
        </w:rPr>
        <w:t>The Company has evaluated the estimated fair value of financial instruments using available market information. The use of different market assumptions, estimation methodologies, or both, could have a significant effect on the estimated fair value amounts. See below for further discussion.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establishes a three-level valuation hierarchy for instruments measured at fair value that distinguishes between assumptions based 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88" w:name="page189"/>
    <w:bookmarkEnd w:id="18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right="140"/>
        <w:spacing w:after="0" w:line="237" w:lineRule="auto"/>
        <w:rPr>
          <w:sz w:val="20"/>
          <w:szCs w:val="20"/>
          <w:color w:val="auto"/>
        </w:rPr>
      </w:pPr>
      <w:r>
        <w:rPr>
          <w:rFonts w:ascii="Arial" w:cs="Arial" w:eastAsia="Arial" w:hAnsi="Arial"/>
          <w:sz w:val="12"/>
          <w:szCs w:val="12"/>
          <w:color w:val="auto"/>
        </w:rPr>
        <w:t>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41"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2"/>
          <w:szCs w:val="12"/>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Level 1 — Quoted unadjusted prices for identical instruments in active markets.</w:t>
      </w:r>
    </w:p>
    <w:p>
      <w:pPr>
        <w:spacing w:after="0" w:line="141" w:lineRule="exact"/>
        <w:rPr>
          <w:sz w:val="20"/>
          <w:szCs w:val="20"/>
          <w:color w:val="auto"/>
        </w:rPr>
      </w:pPr>
    </w:p>
    <w:p>
      <w:pPr>
        <w:ind w:left="360" w:right="280"/>
        <w:spacing w:after="0" w:line="239" w:lineRule="auto"/>
        <w:rPr>
          <w:sz w:val="20"/>
          <w:szCs w:val="20"/>
          <w:color w:val="auto"/>
        </w:rPr>
      </w:pPr>
      <w:r>
        <w:rPr>
          <w:rFonts w:ascii="Arial" w:cs="Arial" w:eastAsia="Arial" w:hAnsi="Arial"/>
          <w:sz w:val="12"/>
          <w:szCs w:val="12"/>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Level 3 — Model-derived valuations in which one or more significant inputs or significant value drivers are unobservable, including assumptions developed by the Company.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valuation techniques that may be used to measure fair value are as follows: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Market Approach </w:t>
      </w:r>
      <w:r>
        <w:rPr>
          <w:rFonts w:ascii="Arial" w:cs="Arial" w:eastAsia="Arial" w:hAnsi="Arial"/>
          <w:sz w:val="12"/>
          <w:szCs w:val="12"/>
          <w:color w:val="auto"/>
        </w:rPr>
        <w:t>— Uses prices and other relevant information generated by market transactions involving identical or comparable assets or liabilities.</w:t>
      </w:r>
    </w:p>
    <w:p>
      <w:pPr>
        <w:spacing w:after="0" w:line="141" w:lineRule="exact"/>
        <w:rPr>
          <w:sz w:val="20"/>
          <w:szCs w:val="20"/>
          <w:color w:val="auto"/>
        </w:rPr>
      </w:pPr>
    </w:p>
    <w:p>
      <w:pPr>
        <w:ind w:left="360" w:right="180"/>
        <w:spacing w:after="0" w:line="259" w:lineRule="auto"/>
        <w:rPr>
          <w:sz w:val="20"/>
          <w:szCs w:val="20"/>
          <w:color w:val="auto"/>
        </w:rPr>
      </w:pPr>
      <w:r>
        <w:rPr>
          <w:rFonts w:ascii="Arial" w:cs="Arial" w:eastAsia="Arial" w:hAnsi="Arial"/>
          <w:sz w:val="12"/>
          <w:szCs w:val="12"/>
          <w:i w:val="1"/>
          <w:iCs w:val="1"/>
          <w:color w:val="auto"/>
        </w:rPr>
        <w:t xml:space="preserve">Income Approach </w:t>
      </w:r>
      <w:r>
        <w:rPr>
          <w:rFonts w:ascii="Arial" w:cs="Arial" w:eastAsia="Arial" w:hAnsi="Arial"/>
          <w:sz w:val="12"/>
          <w:szCs w:val="12"/>
          <w:color w:val="auto"/>
        </w:rPr>
        <w:t>— Uses valuation techniques to convert future amounts to a single present amount based on current market expectations about those future amounts, including present value techniques, option</w:t>
      </w:r>
      <w:r>
        <w:rPr>
          <w:rFonts w:ascii="Arial" w:cs="Arial" w:eastAsia="Arial" w:hAnsi="Arial"/>
          <w:sz w:val="12"/>
          <w:szCs w:val="12"/>
          <w:i w:val="1"/>
          <w:iCs w:val="1"/>
          <w:color w:val="auto"/>
        </w:rPr>
        <w:t xml:space="preserve"> </w:t>
      </w:r>
      <w:r>
        <w:rPr>
          <w:rFonts w:ascii="Arial" w:cs="Arial" w:eastAsia="Arial" w:hAnsi="Arial"/>
          <w:sz w:val="12"/>
          <w:szCs w:val="12"/>
          <w:color w:val="auto"/>
        </w:rPr>
        <w:t>pricing models, and excess earnings method.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Cost Approach </w:t>
      </w:r>
      <w:r>
        <w:rPr>
          <w:rFonts w:ascii="Arial" w:cs="Arial" w:eastAsia="Arial" w:hAnsi="Arial"/>
          <w:sz w:val="12"/>
          <w:szCs w:val="12"/>
          <w:color w:val="auto"/>
        </w:rPr>
        <w:t>— Based on the amount that currently would be required to replace the service capacity of an asset (replacement cost).</w:t>
      </w:r>
    </w:p>
    <w:p>
      <w:pPr>
        <w:spacing w:after="0" w:line="153" w:lineRule="exact"/>
        <w:rPr>
          <w:sz w:val="20"/>
          <w:szCs w:val="20"/>
          <w:color w:val="auto"/>
        </w:rPr>
      </w:pPr>
    </w:p>
    <w:p>
      <w:pPr>
        <w:ind w:firstLine="319"/>
        <w:spacing w:after="0" w:line="237" w:lineRule="auto"/>
        <w:rPr>
          <w:sz w:val="20"/>
          <w:szCs w:val="20"/>
          <w:color w:val="auto"/>
        </w:rPr>
      </w:pPr>
      <w:r>
        <w:rPr>
          <w:rFonts w:ascii="Arial" w:cs="Arial" w:eastAsia="Arial" w:hAnsi="Arial"/>
          <w:sz w:val="12"/>
          <w:szCs w:val="12"/>
          <w:color w:val="auto"/>
        </w:rPr>
        <w:t>As of December 31, 2015, the Company did not have any assets or liabilities measured at fair value on a recurring basis using observable inputs (Level 1), significant other observable inputs (Level 2), or on a recurring basis using significant unobservable inputs (Level 3). The following table presents, for each of the fair value levels, the Company's assets that are measured at fair value on a recurring basis at December 31, 2016 and at June 30, 2017: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38"/>
        </w:trPr>
        <w:tc>
          <w:tcPr>
            <w:tcW w:w="372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9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2"/>
                <w:szCs w:val="12"/>
                <w:b w:val="1"/>
                <w:bCs w:val="1"/>
                <w:color w:val="auto"/>
              </w:rPr>
              <w:t>CarGurus, Inc.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4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Notes to Consolidated Financial Statements (Continued)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2. Summary of Significant Accounting Policies (Continued)</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281"/>
              <w:spacing w:after="0"/>
              <w:rPr>
                <w:sz w:val="20"/>
                <w:szCs w:val="20"/>
                <w:color w:val="auto"/>
              </w:rPr>
            </w:pPr>
            <w:r>
              <w:rPr>
                <w:rFonts w:ascii="Arial" w:cs="Arial" w:eastAsia="Arial" w:hAnsi="Arial"/>
                <w:sz w:val="12"/>
                <w:szCs w:val="12"/>
                <w:color w:val="auto"/>
                <w:w w:val="98"/>
              </w:rPr>
              <w:t>December 31, 2016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color w:val="auto"/>
                <w:w w:val="97"/>
              </w:rPr>
              <w:t>Quoted Prices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6"/>
              </w:rPr>
              <w:t>in Active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Significant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8"/>
              </w:rPr>
              <w:t>Markets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9"/>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41"/>
              <w:spacing w:after="0" w:line="135" w:lineRule="exact"/>
              <w:rPr>
                <w:sz w:val="20"/>
                <w:szCs w:val="20"/>
                <w:color w:val="auto"/>
              </w:rPr>
            </w:pPr>
            <w:r>
              <w:rPr>
                <w:rFonts w:ascii="Arial" w:cs="Arial" w:eastAsia="Arial" w:hAnsi="Arial"/>
                <w:sz w:val="12"/>
                <w:szCs w:val="12"/>
                <w:color w:val="auto"/>
                <w:w w:val="97"/>
              </w:rPr>
              <w:t>Significant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9"/>
              </w:rPr>
              <w:t>for Identical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Observable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5" w:lineRule="exact"/>
              <w:rPr>
                <w:sz w:val="20"/>
                <w:szCs w:val="20"/>
                <w:color w:val="auto"/>
              </w:rPr>
            </w:pPr>
            <w:r>
              <w:rPr>
                <w:rFonts w:ascii="Arial" w:cs="Arial" w:eastAsia="Arial" w:hAnsi="Arial"/>
                <w:sz w:val="12"/>
                <w:szCs w:val="12"/>
                <w:color w:val="auto"/>
                <w:w w:val="97"/>
              </w:rPr>
              <w:t>Unobservable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4"/>
              </w:rPr>
              <w:t>Assets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Inputs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5" w:lineRule="exact"/>
              <w:rPr>
                <w:sz w:val="20"/>
                <w:szCs w:val="20"/>
                <w:color w:val="auto"/>
              </w:rPr>
            </w:pPr>
            <w:r>
              <w:rPr>
                <w:rFonts w:ascii="Arial" w:cs="Arial" w:eastAsia="Arial" w:hAnsi="Arial"/>
                <w:sz w:val="12"/>
                <w:szCs w:val="12"/>
                <w:color w:val="auto"/>
                <w:w w:val="97"/>
              </w:rPr>
              <w:t>Inputs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(Level 1 Inputs)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auto"/>
                <w:w w:val="99"/>
              </w:rPr>
              <w:t>(Level 2 Inputs)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3" w:lineRule="exact"/>
              <w:rPr>
                <w:sz w:val="20"/>
                <w:szCs w:val="20"/>
                <w:color w:val="auto"/>
              </w:rPr>
            </w:pPr>
            <w:r>
              <w:rPr>
                <w:rFonts w:ascii="Arial" w:cs="Arial" w:eastAsia="Arial" w:hAnsi="Arial"/>
                <w:sz w:val="12"/>
                <w:szCs w:val="12"/>
                <w:color w:val="auto"/>
                <w:w w:val="96"/>
              </w:rPr>
              <w:t>(Level 3 Inputs)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220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8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Investments:</w:t>
            </w: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Certificates of deposit</w:t>
            </w:r>
          </w:p>
        </w:tc>
        <w:tc>
          <w:tcPr>
            <w:tcW w:w="2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44,774</w:t>
            </w:r>
          </w:p>
        </w:tc>
        <w:tc>
          <w:tcPr>
            <w:tcW w:w="2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2"/>
                <w:szCs w:val="12"/>
                <w:color w:val="auto"/>
                <w:w w:val="82"/>
              </w:rPr>
              <w:t>—</w:t>
            </w:r>
          </w:p>
        </w:tc>
        <w:tc>
          <w:tcPr>
            <w:tcW w:w="3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w w:val="92"/>
              </w:rPr>
              <w:t>44,774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2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2200" w:type="dxa"/>
            <w:vAlign w:val="bottom"/>
          </w:tcPr>
          <w:p>
            <w:pPr>
              <w:spacing w:after="0"/>
              <w:rPr>
                <w:sz w:val="10"/>
                <w:szCs w:val="10"/>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4" w:lineRule="exact"/>
              <w:rPr>
                <w:sz w:val="20"/>
                <w:szCs w:val="20"/>
                <w:color w:val="auto"/>
              </w:rPr>
            </w:pPr>
            <w:r>
              <w:rPr>
                <w:rFonts w:ascii="Arial" w:cs="Arial" w:eastAsia="Arial" w:hAnsi="Arial"/>
                <w:sz w:val="12"/>
                <w:szCs w:val="12"/>
                <w:color w:val="auto"/>
              </w:rPr>
              <w:t>44,774</w:t>
            </w:r>
          </w:p>
        </w:tc>
        <w:tc>
          <w:tcPr>
            <w:tcW w:w="28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920" w:type="dxa"/>
            <w:vAlign w:val="bottom"/>
          </w:tcPr>
          <w:p>
            <w:pPr>
              <w:ind w:left="800"/>
              <w:spacing w:after="0" w:line="124" w:lineRule="exact"/>
              <w:rPr>
                <w:sz w:val="20"/>
                <w:szCs w:val="20"/>
                <w:color w:val="auto"/>
              </w:rPr>
            </w:pPr>
            <w:r>
              <w:rPr>
                <w:rFonts w:ascii="Arial" w:cs="Arial" w:eastAsia="Arial" w:hAnsi="Arial"/>
                <w:sz w:val="12"/>
                <w:szCs w:val="12"/>
                <w:color w:val="auto"/>
                <w:w w:val="82"/>
              </w:rPr>
              <w:t>—</w:t>
            </w:r>
          </w:p>
        </w:tc>
        <w:tc>
          <w:tcPr>
            <w:tcW w:w="3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00" w:type="dxa"/>
            <w:vAlign w:val="bottom"/>
          </w:tcPr>
          <w:p>
            <w:pPr>
              <w:ind w:left="140"/>
              <w:spacing w:after="0" w:line="124" w:lineRule="exact"/>
              <w:rPr>
                <w:sz w:val="20"/>
                <w:szCs w:val="20"/>
                <w:color w:val="auto"/>
              </w:rPr>
            </w:pPr>
            <w:r>
              <w:rPr>
                <w:rFonts w:ascii="Arial" w:cs="Arial" w:eastAsia="Arial" w:hAnsi="Arial"/>
                <w:sz w:val="12"/>
                <w:szCs w:val="12"/>
                <w:color w:val="auto"/>
                <w:w w:val="92"/>
              </w:rPr>
              <w:t>44,774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281"/>
              <w:spacing w:after="0"/>
              <w:rPr>
                <w:sz w:val="20"/>
                <w:szCs w:val="20"/>
                <w:color w:val="auto"/>
              </w:rPr>
            </w:pPr>
            <w:r>
              <w:rPr>
                <w:rFonts w:ascii="Arial" w:cs="Arial" w:eastAsia="Arial" w:hAnsi="Arial"/>
                <w:sz w:val="12"/>
                <w:szCs w:val="12"/>
                <w:color w:val="auto"/>
                <w:w w:val="97"/>
              </w:rPr>
              <w:t>June 30, 2017 (unaudited)</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color w:val="auto"/>
                <w:w w:val="97"/>
              </w:rPr>
              <w:t>Quoted Prices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6"/>
              </w:rPr>
              <w:t>in Active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Significant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8"/>
              </w:rPr>
              <w:t>Markets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9"/>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41"/>
              <w:spacing w:after="0" w:line="135" w:lineRule="exact"/>
              <w:rPr>
                <w:sz w:val="20"/>
                <w:szCs w:val="20"/>
                <w:color w:val="auto"/>
              </w:rPr>
            </w:pPr>
            <w:r>
              <w:rPr>
                <w:rFonts w:ascii="Arial" w:cs="Arial" w:eastAsia="Arial" w:hAnsi="Arial"/>
                <w:sz w:val="12"/>
                <w:szCs w:val="12"/>
                <w:color w:val="auto"/>
                <w:w w:val="97"/>
              </w:rPr>
              <w:t>Significant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9"/>
              </w:rPr>
              <w:t>for Identical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Observable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5" w:lineRule="exact"/>
              <w:rPr>
                <w:sz w:val="20"/>
                <w:szCs w:val="20"/>
                <w:color w:val="auto"/>
              </w:rPr>
            </w:pPr>
            <w:r>
              <w:rPr>
                <w:rFonts w:ascii="Arial" w:cs="Arial" w:eastAsia="Arial" w:hAnsi="Arial"/>
                <w:sz w:val="12"/>
                <w:szCs w:val="12"/>
                <w:color w:val="auto"/>
                <w:w w:val="97"/>
              </w:rPr>
              <w:t>Unobservable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4"/>
              </w:rPr>
              <w:t>Assets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7"/>
              </w:rPr>
              <w:t>Inputs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5" w:lineRule="exact"/>
              <w:rPr>
                <w:sz w:val="20"/>
                <w:szCs w:val="20"/>
                <w:color w:val="auto"/>
              </w:rPr>
            </w:pPr>
            <w:r>
              <w:rPr>
                <w:rFonts w:ascii="Arial" w:cs="Arial" w:eastAsia="Arial" w:hAnsi="Arial"/>
                <w:sz w:val="12"/>
                <w:szCs w:val="12"/>
                <w:color w:val="auto"/>
                <w:w w:val="97"/>
              </w:rPr>
              <w:t>Inputs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(Level 1 Inputs)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auto"/>
                <w:w w:val="99"/>
              </w:rPr>
              <w:t>(Level 2 Inputs)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1"/>
              <w:spacing w:after="0" w:line="133" w:lineRule="exact"/>
              <w:rPr>
                <w:sz w:val="20"/>
                <w:szCs w:val="20"/>
                <w:color w:val="auto"/>
              </w:rPr>
            </w:pPr>
            <w:r>
              <w:rPr>
                <w:rFonts w:ascii="Arial" w:cs="Arial" w:eastAsia="Arial" w:hAnsi="Arial"/>
                <w:sz w:val="12"/>
                <w:szCs w:val="12"/>
                <w:color w:val="auto"/>
                <w:w w:val="96"/>
              </w:rPr>
              <w:t>(Level 3 Inputs)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220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8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Cash equivalents:</w:t>
            </w: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Money market funds</w:t>
            </w:r>
          </w:p>
        </w:tc>
        <w:tc>
          <w:tcPr>
            <w:tcW w:w="2460" w:type="dxa"/>
            <w:vAlign w:val="bottom"/>
            <w:gridSpan w:val="2"/>
            <w:shd w:val="clear" w:color="auto" w:fill="CCEEFF"/>
          </w:tcPr>
          <w:p>
            <w:pPr>
              <w:jc w:val="right"/>
              <w:ind w:right="153"/>
              <w:spacing w:after="0" w:line="135"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20,591</w:t>
            </w: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2"/>
                <w:szCs w:val="12"/>
                <w:color w:val="auto"/>
                <w:w w:val="82"/>
              </w:rPr>
              <w:t>—</w:t>
            </w:r>
          </w:p>
        </w:tc>
        <w:tc>
          <w:tcPr>
            <w:tcW w:w="3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w w:val="92"/>
              </w:rPr>
              <w:t>20,591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8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Investments:</w:t>
            </w: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Certificates of deposit</w:t>
            </w:r>
          </w:p>
        </w:tc>
        <w:tc>
          <w:tcPr>
            <w:tcW w:w="2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48,000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ind w:left="800"/>
              <w:spacing w:after="0" w:line="135"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ind w:left="140"/>
              <w:spacing w:after="0" w:line="135" w:lineRule="exact"/>
              <w:rPr>
                <w:sz w:val="20"/>
                <w:szCs w:val="20"/>
                <w:color w:val="auto"/>
              </w:rPr>
            </w:pPr>
            <w:r>
              <w:rPr>
                <w:rFonts w:ascii="Arial" w:cs="Arial" w:eastAsia="Arial" w:hAnsi="Arial"/>
                <w:sz w:val="12"/>
                <w:szCs w:val="12"/>
                <w:color w:val="auto"/>
                <w:w w:val="92"/>
              </w:rPr>
              <w:t>48,000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2820" w:type="dxa"/>
            <w:vAlign w:val="bottom"/>
            <w:gridSpan w:val="2"/>
          </w:tcPr>
          <w:p>
            <w:pPr>
              <w:ind w:left="240"/>
              <w:spacing w:after="0" w:line="124" w:lineRule="exact"/>
              <w:rPr>
                <w:sz w:val="20"/>
                <w:szCs w:val="20"/>
                <w:color w:val="auto"/>
              </w:rPr>
            </w:pPr>
            <w:r>
              <w:rPr>
                <w:rFonts w:ascii="Arial" w:cs="Arial" w:eastAsia="Arial" w:hAnsi="Arial"/>
                <w:sz w:val="12"/>
                <w:szCs w:val="12"/>
                <w:color w:val="auto"/>
              </w:rPr>
              <w:t>Total</w:t>
            </w:r>
          </w:p>
        </w:tc>
        <w:tc>
          <w:tcPr>
            <w:tcW w:w="2200" w:type="dxa"/>
            <w:vAlign w:val="bottom"/>
          </w:tcPr>
          <w:p>
            <w:pPr>
              <w:spacing w:after="0"/>
              <w:rPr>
                <w:sz w:val="10"/>
                <w:szCs w:val="10"/>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20,591</w:t>
            </w:r>
          </w:p>
        </w:tc>
        <w:tc>
          <w:tcPr>
            <w:tcW w:w="3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4" w:lineRule="exact"/>
              <w:rPr>
                <w:sz w:val="20"/>
                <w:szCs w:val="20"/>
                <w:color w:val="auto"/>
              </w:rPr>
            </w:pPr>
            <w:r>
              <w:rPr>
                <w:rFonts w:ascii="Arial" w:cs="Arial" w:eastAsia="Arial" w:hAnsi="Arial"/>
                <w:sz w:val="12"/>
                <w:szCs w:val="12"/>
                <w:color w:val="auto"/>
              </w:rPr>
              <w:t>48,000</w:t>
            </w:r>
          </w:p>
        </w:tc>
        <w:tc>
          <w:tcPr>
            <w:tcW w:w="28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920" w:type="dxa"/>
            <w:vAlign w:val="bottom"/>
          </w:tcPr>
          <w:p>
            <w:pPr>
              <w:ind w:left="800"/>
              <w:spacing w:after="0" w:line="124" w:lineRule="exact"/>
              <w:rPr>
                <w:sz w:val="20"/>
                <w:szCs w:val="20"/>
                <w:color w:val="auto"/>
              </w:rPr>
            </w:pPr>
            <w:r>
              <w:rPr>
                <w:rFonts w:ascii="Arial" w:cs="Arial" w:eastAsia="Arial" w:hAnsi="Arial"/>
                <w:sz w:val="12"/>
                <w:szCs w:val="12"/>
                <w:color w:val="auto"/>
                <w:w w:val="82"/>
              </w:rPr>
              <w:t>—</w:t>
            </w:r>
          </w:p>
        </w:tc>
        <w:tc>
          <w:tcPr>
            <w:tcW w:w="3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500" w:type="dxa"/>
            <w:vAlign w:val="bottom"/>
          </w:tcPr>
          <w:p>
            <w:pPr>
              <w:ind w:left="140"/>
              <w:spacing w:after="0" w:line="124" w:lineRule="exact"/>
              <w:rPr>
                <w:sz w:val="20"/>
                <w:szCs w:val="20"/>
                <w:color w:val="auto"/>
              </w:rPr>
            </w:pPr>
            <w:r>
              <w:rPr>
                <w:rFonts w:ascii="Arial" w:cs="Arial" w:eastAsia="Arial" w:hAnsi="Arial"/>
                <w:sz w:val="12"/>
                <w:szCs w:val="12"/>
                <w:color w:val="auto"/>
                <w:w w:val="92"/>
              </w:rPr>
              <w:t>68,591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40" w:firstLine="323"/>
        <w:spacing w:after="0" w:line="237" w:lineRule="auto"/>
        <w:rPr>
          <w:sz w:val="20"/>
          <w:szCs w:val="20"/>
          <w:color w:val="auto"/>
        </w:rPr>
      </w:pPr>
      <w:r>
        <w:rPr>
          <w:rFonts w:ascii="Arial" w:cs="Arial" w:eastAsia="Arial" w:hAnsi="Arial"/>
          <w:sz w:val="12"/>
          <w:szCs w:val="12"/>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years ended December 31, 2015 or 2016 or the six months ended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For stock-based awards issued under the Company's stock-based compensation plans, which are more fully described in Note 6, the fair value of each award is estimated on the date of grant, and, up through the year ended December 31, 2016, an estimated forfeiture rate was used when calculating stock-based compensation expense for the period. For service-based awards, the Company recognizes compensation expense on a straight-line basis over the requisite service period of the award.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19" w:right="259" w:bottom="1440" w:gutter="0" w:footer="0" w:header="0"/>
        </w:sectPr>
      </w:pPr>
    </w:p>
    <w:bookmarkStart w:id="190" w:name="page191"/>
    <w:bookmarkEnd w:id="190"/>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left="8" w:firstLine="326"/>
        <w:spacing w:after="0" w:line="237" w:lineRule="auto"/>
        <w:rPr>
          <w:sz w:val="20"/>
          <w:szCs w:val="20"/>
          <w:color w:val="auto"/>
        </w:rPr>
      </w:pPr>
      <w:r>
        <w:rPr>
          <w:rFonts w:ascii="Arial" w:cs="Arial" w:eastAsia="Arial" w:hAnsi="Arial"/>
          <w:sz w:val="12"/>
          <w:szCs w:val="12"/>
          <w:color w:val="auto"/>
        </w:rPr>
        <w:t>Certain awards granted by the Company historically are subject to service-based vesting conditions and a performance-based vesting condition achieved upon a liquidity event, defined as either a change of control or an IPO. As a result, no compensation cost related to stock-based awards with these performance conditions has been recognized through December 31, 2016 or June 30, 2017, as the Company has determined that a liquidity event was not probable at December 31, 2015 or 2016 or June 30, 2017. The Company will record the expense for these awards using the accelerated attribution method over the remaining service period when management determines that achievement of the liquidity event is probable.</w:t>
      </w:r>
    </w:p>
    <w:p>
      <w:pPr>
        <w:spacing w:after="0" w:line="139" w:lineRule="exact"/>
        <w:rPr>
          <w:sz w:val="20"/>
          <w:szCs w:val="20"/>
          <w:color w:val="auto"/>
        </w:rPr>
      </w:pPr>
    </w:p>
    <w:p>
      <w:pPr>
        <w:ind w:left="8" w:right="60" w:firstLine="326"/>
        <w:spacing w:after="0" w:line="256" w:lineRule="auto"/>
        <w:rPr>
          <w:sz w:val="20"/>
          <w:szCs w:val="20"/>
          <w:color w:val="auto"/>
        </w:rPr>
      </w:pPr>
      <w:r>
        <w:rPr>
          <w:rFonts w:ascii="Arial" w:cs="Arial" w:eastAsia="Arial" w:hAnsi="Arial"/>
          <w:sz w:val="11"/>
          <w:szCs w:val="11"/>
          <w:color w:val="auto"/>
        </w:rPr>
        <w:t xml:space="preserve">Given the absence of an active market for the Company's common stock, the Board, the members of which the Company believes have extensive business, finance, and venture capital experience, was required to estimate the fair value of the Company's common stock at the time of each grant of a stock-based award. The Company and the Board utilized various valuation methodologies in accordance with the framework of the American Institute of Certified Public Accountants' Technical Practice Aid, </w:t>
      </w:r>
      <w:r>
        <w:rPr>
          <w:rFonts w:ascii="Arial" w:cs="Arial" w:eastAsia="Arial" w:hAnsi="Arial"/>
          <w:sz w:val="11"/>
          <w:szCs w:val="11"/>
          <w:i w:val="1"/>
          <w:iCs w:val="1"/>
          <w:color w:val="auto"/>
        </w:rPr>
        <w:t>Valuation of Privately-Held Company Equity Securities Issued as Compensation</w:t>
      </w:r>
      <w:r>
        <w:rPr>
          <w:rFonts w:ascii="Arial" w:cs="Arial" w:eastAsia="Arial" w:hAnsi="Arial"/>
          <w:sz w:val="11"/>
          <w:szCs w:val="11"/>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the following factors: (1) prices paid for the Company's convertible preferred stock, which the Company had sold to outside investors in arm's-length transactions, and the rights, preferences, and privileges of the Company's convertible preferred stock and common stock; (2) valuations performed by an independent valuation specialist; (3) the Company's stage of development and revenue growth;</w:t>
      </w:r>
    </w:p>
    <w:p>
      <w:pPr>
        <w:spacing w:after="0" w:line="1" w:lineRule="exact"/>
        <w:rPr>
          <w:sz w:val="20"/>
          <w:szCs w:val="20"/>
          <w:color w:val="auto"/>
        </w:rPr>
      </w:pPr>
    </w:p>
    <w:p>
      <w:pPr>
        <w:ind w:left="8" w:right="180" w:hanging="8"/>
        <w:spacing w:after="0" w:line="239" w:lineRule="auto"/>
        <w:tabs>
          <w:tab w:leader="none" w:pos="184"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39" w:lineRule="exact"/>
        <w:rPr>
          <w:sz w:val="20"/>
          <w:szCs w:val="20"/>
          <w:color w:val="auto"/>
        </w:rPr>
      </w:pPr>
    </w:p>
    <w:p>
      <w:pPr>
        <w:ind w:left="8" w:firstLine="323"/>
        <w:spacing w:after="0" w:line="237" w:lineRule="auto"/>
        <w:rPr>
          <w:sz w:val="20"/>
          <w:szCs w:val="20"/>
          <w:color w:val="auto"/>
        </w:rPr>
      </w:pPr>
      <w:r>
        <w:rPr>
          <w:rFonts w:ascii="Arial" w:cs="Arial" w:eastAsia="Arial" w:hAnsi="Arial"/>
          <w:sz w:val="12"/>
          <w:szCs w:val="12"/>
          <w:color w:val="auto"/>
        </w:rPr>
        <w:t>The Company believes this methodology to be reasonable based upon the Company's internal peer company analyses, and further supported by several arm's-length transactions involving the Company's convertible preferred stock. As the Company's common stock is not actively traded, the determination of fair value involves assumptions, judgments, and estimates. If different assumptions were made, stock-based compensation expense, consolidated net income (loss), and consolidated net income (loss) per share could have been significantly different.</w:t>
      </w:r>
    </w:p>
    <w:p>
      <w:pPr>
        <w:spacing w:after="0" w:line="141" w:lineRule="exact"/>
        <w:rPr>
          <w:sz w:val="20"/>
          <w:szCs w:val="20"/>
          <w:color w:val="auto"/>
        </w:rPr>
      </w:pPr>
    </w:p>
    <w:p>
      <w:pPr>
        <w:ind w:left="8" w:right="60" w:firstLine="326"/>
        <w:spacing w:after="0" w:line="237" w:lineRule="auto"/>
        <w:rPr>
          <w:sz w:val="20"/>
          <w:szCs w:val="20"/>
          <w:color w:val="auto"/>
        </w:rPr>
      </w:pPr>
      <w:r>
        <w:rPr>
          <w:rFonts w:ascii="Arial" w:cs="Arial" w:eastAsia="Arial" w:hAnsi="Arial"/>
          <w:sz w:val="12"/>
          <w:szCs w:val="12"/>
          <w:color w:val="auto"/>
        </w:rPr>
        <w:t>For RSUs issued under the Company's stock-based compensation plans, the fair value of each grant is calculated based on the estimated fair value of the Company's common stock on the date of grant. The Company estimates the fair value of most stock option awards on the date of grant using the Black-Scholes option-pricing model. Certain stock option awards that have an exercise price that is materially above the current estimated fair market value of the Company's stock are considered to be "deeply out of the money," and are valued at the date of grant using a binomial lattice option-pricing model.</w:t>
      </w:r>
    </w:p>
    <w:p>
      <w:pPr>
        <w:spacing w:after="0" w:line="141" w:lineRule="exact"/>
        <w:rPr>
          <w:sz w:val="20"/>
          <w:szCs w:val="20"/>
          <w:color w:val="auto"/>
        </w:rPr>
      </w:pPr>
    </w:p>
    <w:p>
      <w:pPr>
        <w:jc w:val="both"/>
        <w:ind w:left="8" w:right="180" w:firstLine="323"/>
        <w:spacing w:after="0" w:line="237" w:lineRule="auto"/>
        <w:rPr>
          <w:sz w:val="20"/>
          <w:szCs w:val="20"/>
          <w:color w:val="auto"/>
        </w:rPr>
      </w:pPr>
      <w:r>
        <w:rPr>
          <w:rFonts w:ascii="Arial" w:cs="Arial" w:eastAsia="Arial" w:hAnsi="Arial"/>
          <w:sz w:val="12"/>
          <w:szCs w:val="12"/>
          <w:color w:val="auto"/>
        </w:rPr>
        <w:t>The fair value of each option grant issued under the Company's stock-based compensation plans that is not considered "deeply out of the money," was estimated using the Black-Scholes option-pricing model. As there is no public market for its common stock, the Company determined the volatility for options granted based on an analysis of reported data for a peer group of companies that issued options with substantially similar terms. The expected volatility of granted</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191" w:name="page192"/>
    <w:bookmarkEnd w:id="19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options has been determined using a weighted-average of the historical volatility measures of this peer group of companies. The expected life of options has been determined utilizing the "simplified method." The simplified method is based on the average of the vesting tranches and the contractual life of each grant. The risk-free interest rate is based on a treasury instrument whose term is consistent with the expected life of the stock options. The Company has not paid, and does not anticipate paying, cash dividends on its common stock; therefore, the expected dividend yield is assumed to be zero. In addition, the Company applied an estimated forfeiture rate of 5% in determining the expense recorded in the accompanying consolidated statements of operations for the years ended December 31, 2015 and 2016.</w:t>
      </w:r>
    </w:p>
    <w:p>
      <w:pPr>
        <w:spacing w:after="0" w:line="127"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 xml:space="preserve">In March 2016, the FASB issued ASU 2016-09, </w:t>
      </w:r>
      <w:r>
        <w:rPr>
          <w:rFonts w:ascii="Arial" w:cs="Arial" w:eastAsia="Arial" w:hAnsi="Arial"/>
          <w:sz w:val="12"/>
          <w:szCs w:val="12"/>
          <w:i w:val="1"/>
          <w:iCs w:val="1"/>
          <w:color w:val="auto"/>
        </w:rPr>
        <w:t>Compensation — Stock Compensation (Topic 718): Improvements to Employee Share-Based Payment Accounting</w:t>
      </w:r>
      <w:r>
        <w:rPr>
          <w:rFonts w:ascii="Arial" w:cs="Arial" w:eastAsia="Arial" w:hAnsi="Arial"/>
          <w:sz w:val="12"/>
          <w:szCs w:val="12"/>
          <w:color w:val="auto"/>
        </w:rPr>
        <w:t xml:space="preserve"> (ASU 2016-09). The guidance identifies areas for simplification involving several aspects of accounting for share-based payments, including income tax consequences, classification of awards as either equity or liabilities, an option to make a policy election to recognize gross stock-based compensation expense with actual forfeitures recognized as they occur, as well as certain classification changes on the statement of cash flows. The Company adopted ASU 2016-09 on January 1, 2017 and elected to account for forfeitures when they occur, on a modified retrospective basis. The cumulative effect adjustment related to the Company's accounting policy change for forfeitures was not material. In accordance with the adoption of this guidance, the tax effect of differences between tax deductions related to stock compensation and the corresponding financial statement expense compensation will no longer be recorded to additional paid-in capital in the balance sheet. Instead, such amounts will be recorded to tax expense. During the six months ended June 30 2017, the Company recorded a tax benefit of $373 related to differences (shortfalls) in stock-based compensation deductions realized in the first quarter and the corresponding amount of expense recognized for financial statement purposes. The Company also elected to prospectively apply the change in presentation of excess tax benefits, wherein excess tax benefits recognized on stock-based compensation expense is now classified as an operating activity in the consolidated statements of cash flows. The Company did not adjust the classifications of excess tax benefits in its consolidated statements of cash flows for the six months ended June 30, 2016 or for the years ended December 31, 2015 or 2016. The adoption did not have any other material impact on the Company's consolidated financial statements.</w:t>
      </w:r>
    </w:p>
    <w:p>
      <w:pPr>
        <w:spacing w:after="0" w:line="144" w:lineRule="exact"/>
        <w:rPr>
          <w:sz w:val="20"/>
          <w:szCs w:val="20"/>
          <w:color w:val="auto"/>
        </w:rPr>
      </w:pPr>
    </w:p>
    <w:p>
      <w:pPr>
        <w:ind w:right="20" w:firstLine="323"/>
        <w:spacing w:after="0" w:line="239" w:lineRule="auto"/>
        <w:rPr>
          <w:sz w:val="20"/>
          <w:szCs w:val="20"/>
          <w:color w:val="auto"/>
        </w:rPr>
      </w:pPr>
      <w:r>
        <w:rPr>
          <w:rFonts w:ascii="Arial" w:cs="Arial" w:eastAsia="Arial" w:hAnsi="Arial"/>
          <w:sz w:val="12"/>
          <w:szCs w:val="12"/>
          <w:color w:val="auto"/>
        </w:rPr>
        <w:t>The weighted-average fair value of options granted during the years ended December 31, 2015 and 2016 was $0.46 and $0.90, respectively. No options were granted during the six months ended June 30, 2017. The weighted-average assumptions utilized to determine the fair value of options granted are presented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2"/>
                <w:szCs w:val="12"/>
                <w:color w:val="auto"/>
              </w:rPr>
              <w:t>Year Ended December 31,</w:t>
            </w:r>
          </w:p>
        </w:tc>
        <w:tc>
          <w:tcPr>
            <w:tcW w:w="1260" w:type="dxa"/>
            <w:vAlign w:val="bottom"/>
            <w:gridSpan w:val="2"/>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3"/>
        </w:trPr>
        <w:tc>
          <w:tcPr>
            <w:tcW w:w="1140" w:type="dxa"/>
            <w:vAlign w:val="bottom"/>
          </w:tcPr>
          <w:p>
            <w:pPr>
              <w:spacing w:after="0"/>
              <w:rPr>
                <w:sz w:val="11"/>
                <w:szCs w:val="11"/>
                <w:color w:val="auto"/>
              </w:rPr>
            </w:pPr>
          </w:p>
        </w:tc>
        <w:tc>
          <w:tcPr>
            <w:tcW w:w="2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dividend yield</w:t>
            </w:r>
          </w:p>
        </w:tc>
        <w:tc>
          <w:tcPr>
            <w:tcW w:w="46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r>
      <w:tr>
        <w:trPr>
          <w:trHeight w:val="135"/>
        </w:trPr>
        <w:tc>
          <w:tcPr>
            <w:tcW w:w="402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Expected volatility</w:t>
            </w:r>
          </w:p>
        </w:tc>
        <w:tc>
          <w:tcPr>
            <w:tcW w:w="548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64%</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49%</w:t>
            </w: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28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Risk-free interest rate</w:t>
            </w:r>
          </w:p>
        </w:tc>
        <w:tc>
          <w:tcPr>
            <w:tcW w:w="548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1.73%</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1.57%</w:t>
            </w:r>
          </w:p>
        </w:tc>
        <w:tc>
          <w:tcPr>
            <w:tcW w:w="1140" w:type="dxa"/>
            <w:vAlign w:val="bottom"/>
          </w:tcPr>
          <w:p>
            <w:pPr>
              <w:spacing w:after="0"/>
              <w:rPr>
                <w:sz w:val="11"/>
                <w:szCs w:val="11"/>
                <w:color w:val="auto"/>
              </w:rPr>
            </w:pPr>
          </w:p>
        </w:tc>
      </w:tr>
      <w:tr>
        <w:trPr>
          <w:trHeight w:val="142"/>
        </w:trPr>
        <w:tc>
          <w:tcPr>
            <w:tcW w:w="4020" w:type="dxa"/>
            <w:vAlign w:val="bottom"/>
            <w:gridSpan w:val="2"/>
          </w:tcPr>
          <w:p>
            <w:pPr>
              <w:ind w:left="1140"/>
              <w:spacing w:after="0"/>
              <w:rPr>
                <w:sz w:val="20"/>
                <w:szCs w:val="20"/>
                <w:color w:val="auto"/>
              </w:rPr>
            </w:pPr>
            <w:r>
              <w:rPr>
                <w:rFonts w:ascii="Arial" w:cs="Arial" w:eastAsia="Arial" w:hAnsi="Arial"/>
                <w:sz w:val="12"/>
                <w:szCs w:val="12"/>
                <w:color w:val="auto"/>
              </w:rPr>
              <w:t>Expected term (in years)</w:t>
            </w:r>
          </w:p>
        </w:tc>
        <w:tc>
          <w:tcPr>
            <w:tcW w:w="5360" w:type="dxa"/>
            <w:vAlign w:val="bottom"/>
            <w:gridSpan w:val="2"/>
          </w:tcPr>
          <w:p>
            <w:pPr>
              <w:jc w:val="right"/>
              <w:spacing w:after="0"/>
              <w:rPr>
                <w:sz w:val="20"/>
                <w:szCs w:val="20"/>
                <w:color w:val="auto"/>
              </w:rPr>
            </w:pPr>
            <w:r>
              <w:rPr>
                <w:rFonts w:ascii="Arial" w:cs="Arial" w:eastAsia="Arial" w:hAnsi="Arial"/>
                <w:sz w:val="12"/>
                <w:szCs w:val="12"/>
                <w:color w:val="auto"/>
              </w:rPr>
              <w:t>6.05</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6.07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79"/>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80" w:type="dxa"/>
            <w:vAlign w:val="bottom"/>
            <w:gridSpan w:val="3"/>
          </w:tcPr>
          <w:p>
            <w:pPr>
              <w:jc w:val="right"/>
              <w:ind w:right="3640"/>
              <w:spacing w:after="0"/>
              <w:rPr>
                <w:sz w:val="20"/>
                <w:szCs w:val="20"/>
                <w:color w:val="auto"/>
              </w:rPr>
            </w:pPr>
            <w:r>
              <w:rPr>
                <w:rFonts w:ascii="Arial" w:cs="Arial" w:eastAsia="Arial" w:hAnsi="Arial"/>
                <w:sz w:val="12"/>
                <w:szCs w:val="12"/>
                <w:color w:val="auto"/>
              </w:rPr>
              <w:t>F-21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2880" w:type="dxa"/>
            <w:vAlign w:val="bottom"/>
            <w:tcBorders>
              <w:bottom w:val="single" w:sz="8" w:color="808080"/>
            </w:tcBorders>
          </w:tcPr>
          <w:p>
            <w:pPr>
              <w:spacing w:after="0"/>
              <w:rPr>
                <w:sz w:val="12"/>
                <w:szCs w:val="12"/>
                <w:color w:val="auto"/>
              </w:rPr>
            </w:pPr>
          </w:p>
        </w:tc>
        <w:tc>
          <w:tcPr>
            <w:tcW w:w="46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92" w:name="page193"/>
    <w:bookmarkEnd w:id="19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See Note 6 for a summary of the stock option activity for the year ended December 31, 2016 and the six months ended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155" w:lineRule="exact"/>
        <w:rPr>
          <w:sz w:val="20"/>
          <w:szCs w:val="20"/>
          <w:color w:val="auto"/>
        </w:rPr>
      </w:pPr>
    </w:p>
    <w:p>
      <w:pPr>
        <w:ind w:right="40" w:firstLine="319"/>
        <w:spacing w:after="0" w:line="239" w:lineRule="auto"/>
        <w:rPr>
          <w:sz w:val="20"/>
          <w:szCs w:val="20"/>
          <w:color w:val="auto"/>
        </w:rPr>
      </w:pPr>
      <w:r>
        <w:rPr>
          <w:rFonts w:ascii="Arial" w:cs="Arial" w:eastAsia="Arial" w:hAnsi="Arial"/>
          <w:sz w:val="12"/>
          <w:szCs w:val="12"/>
          <w:color w:val="auto"/>
        </w:rPr>
        <w:t>Advertising costs are expensed as incurred. Advertising expense, which is included within sales and marketing expense in the consolidated statements of operations, was approximately $61,865, $112,167, $50,022, and $76,185 for the years ended December 31, 2015 and 2016 and the six months ended June 30, 2016 and 2017,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55"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Additionally, incentives received are treated as a reduction of costs over the term of the agreement, as they are considered an inseparable part of the lease agreement.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Per Share</w:t>
      </w:r>
    </w:p>
    <w:p>
      <w:pPr>
        <w:spacing w:after="0" w:line="155" w:lineRule="exact"/>
        <w:rPr>
          <w:sz w:val="20"/>
          <w:szCs w:val="20"/>
          <w:color w:val="auto"/>
        </w:rPr>
      </w:pPr>
    </w:p>
    <w:p>
      <w:pPr>
        <w:ind w:right="200" w:firstLine="326"/>
        <w:spacing w:after="0" w:line="281" w:lineRule="auto"/>
        <w:rPr>
          <w:sz w:val="20"/>
          <w:szCs w:val="20"/>
          <w:color w:val="auto"/>
        </w:rPr>
      </w:pPr>
      <w:r>
        <w:rPr>
          <w:rFonts w:ascii="Arial" w:cs="Arial" w:eastAsia="Arial" w:hAnsi="Arial"/>
          <w:sz w:val="11"/>
          <w:szCs w:val="11"/>
          <w:color w:val="auto"/>
        </w:rPr>
        <w:t>Net income (loss) per share information is determined using the two-class method, which includes the weighted-average number of shares of common stock outstanding during the period and other securities that participate in dividends (a participating security). The Company considers the convertible preferred stock to be participating securities because they include rights to participate in dividends with the common stock.</w:t>
      </w:r>
    </w:p>
    <w:p>
      <w:pPr>
        <w:spacing w:after="0" w:line="118" w:lineRule="exact"/>
        <w:rPr>
          <w:sz w:val="20"/>
          <w:szCs w:val="20"/>
          <w:color w:val="auto"/>
        </w:rPr>
      </w:pPr>
    </w:p>
    <w:p>
      <w:pPr>
        <w:ind w:right="200" w:firstLine="326"/>
        <w:spacing w:after="0" w:line="237" w:lineRule="auto"/>
        <w:rPr>
          <w:sz w:val="20"/>
          <w:szCs w:val="20"/>
          <w:color w:val="auto"/>
        </w:rPr>
      </w:pPr>
      <w:r>
        <w:rPr>
          <w:rFonts w:ascii="Arial" w:cs="Arial" w:eastAsia="Arial" w:hAnsi="Arial"/>
          <w:sz w:val="12"/>
          <w:szCs w:val="12"/>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preferred stockholders based on dividend rights under the Company's certificate of incorporation and then to preferred and common stockholders based on ownership interests. Net losses are not allocated to preferred stockholders as they do not have an obligation to share in the Company's net losses.</w:t>
      </w:r>
    </w:p>
    <w:p>
      <w:pPr>
        <w:spacing w:after="0" w:line="139" w:lineRule="exact"/>
        <w:rPr>
          <w:sz w:val="20"/>
          <w:szCs w:val="20"/>
          <w:color w:val="auto"/>
        </w:rPr>
      </w:pPr>
    </w:p>
    <w:p>
      <w:pPr>
        <w:ind w:firstLine="323"/>
        <w:spacing w:after="0" w:line="237" w:lineRule="auto"/>
        <w:rPr>
          <w:sz w:val="20"/>
          <w:szCs w:val="20"/>
          <w:color w:val="auto"/>
        </w:rPr>
      </w:pPr>
      <w:r>
        <w:rPr>
          <w:rFonts w:ascii="Arial" w:cs="Arial" w:eastAsia="Arial" w:hAnsi="Arial"/>
          <w:sz w:val="12"/>
          <w:szCs w:val="12"/>
          <w:color w:val="auto"/>
        </w:rPr>
        <w:t>The Company has two classes of common stock outstanding for all periods presented: Class A common stock and Class B common stock. As more fully described in Note 5,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may be converted into one share of Class A common stock at any time at the option of the stockholder, and will be automatically converted into one share of Class A common stock upon a sale or transfer, subject to certain limited exceptions. Upon either the death or voluntary termination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93" w:name="page194"/>
    <w:bookmarkEnd w:id="19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of the Company's Chief Executive Officer, all outstanding shares of Class B common stock shall automatically be converted into one share of Class A common stock.</w:t>
      </w:r>
    </w:p>
    <w:p>
      <w:pPr>
        <w:spacing w:after="0" w:line="141" w:lineRule="exact"/>
        <w:rPr>
          <w:sz w:val="20"/>
          <w:szCs w:val="20"/>
          <w:color w:val="auto"/>
        </w:rPr>
      </w:pPr>
    </w:p>
    <w:p>
      <w:pPr>
        <w:ind w:right="60" w:firstLine="323"/>
        <w:spacing w:after="0" w:line="239" w:lineRule="auto"/>
        <w:rPr>
          <w:sz w:val="20"/>
          <w:szCs w:val="20"/>
          <w:color w:val="auto"/>
        </w:rPr>
      </w:pPr>
      <w:r>
        <w:rPr>
          <w:rFonts w:ascii="Arial" w:cs="Arial" w:eastAsia="Arial" w:hAnsi="Arial"/>
          <w:sz w:val="12"/>
          <w:szCs w:val="12"/>
          <w:color w:val="auto"/>
        </w:rPr>
        <w:t>The Company allocates undistributed earnings attributable to common stock between the common stock classes on a one-to-one basis when computing net income (loss) per share. As a result, basic and diluted net income (loss) per share of Class A common stock and share of Class B common stock are equivalent.</w:t>
      </w:r>
    </w:p>
    <w:p>
      <w:pPr>
        <w:spacing w:after="0" w:line="139"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Diluted net income (loss) per share gives effect to all potentially dilutive securities. Potential dilutive securities consist of shares of common stock issuable upon the exercise of stock options, shares of common stock issuable upon the vesting of RSUs, and shares of common stock issuable upon the conversion of the outstanding convertible preferred stock. The dilutive effect of these common stock equivalents is reflected in diluted earnings per share by application of the treasury stock method; however, outstanding RSUs, which are contingently issuable upon the achievement of a liquidity event, have been excluded from the dilutive share calculation as it was not probable the vesting criteria for these awards would be met in any of the periods presented.</w:t>
      </w:r>
    </w:p>
    <w:p>
      <w:pPr>
        <w:spacing w:after="0" w:line="139" w:lineRule="exact"/>
        <w:rPr>
          <w:sz w:val="20"/>
          <w:szCs w:val="20"/>
          <w:color w:val="auto"/>
        </w:rPr>
      </w:pPr>
    </w:p>
    <w:p>
      <w:pPr>
        <w:ind w:right="60" w:firstLine="326"/>
        <w:spacing w:after="0" w:line="237" w:lineRule="auto"/>
        <w:rPr>
          <w:sz w:val="20"/>
          <w:szCs w:val="20"/>
          <w:color w:val="auto"/>
        </w:rPr>
      </w:pPr>
      <w:r>
        <w:rPr>
          <w:rFonts w:ascii="Arial" w:cs="Arial" w:eastAsia="Arial" w:hAnsi="Arial"/>
          <w:sz w:val="12"/>
          <w:szCs w:val="12"/>
          <w:color w:val="auto"/>
        </w:rPr>
        <w:t>For the years ended December 31, 2015 and 2016, the net loss attributable to common stockholders is divided by the weighted-average number of shares of common stock outstanding during the period to calculate diluted earnings per share. The dilutive effect of common stock equivalents has been excluded from the calculation as their effect would have been anti-dilutive due to the net losses incurred for the periods. For the six months ended June 30, 2016 and 2017, the two-class method was used in the computation of diluted net income per share, as the result was more dilutive.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94" w:name="page195"/>
    <w:bookmarkEnd w:id="19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a reconciliation of the numerator and denominator used in the calculation of basic and diluted net (loss) income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right"/>
              <w:ind w:right="540"/>
              <w:spacing w:after="0"/>
              <w:rPr>
                <w:sz w:val="20"/>
                <w:szCs w:val="20"/>
                <w:color w:val="auto"/>
              </w:rPr>
            </w:pPr>
            <w:r>
              <w:rPr>
                <w:rFonts w:ascii="Arial" w:cs="Arial" w:eastAsia="Arial" w:hAnsi="Arial"/>
                <w:sz w:val="12"/>
                <w:szCs w:val="12"/>
                <w:color w:val="auto"/>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7"/>
          </w:tcPr>
          <w:p>
            <w:pPr>
              <w:ind w:left="200"/>
              <w:spacing w:after="0"/>
              <w:rPr>
                <w:sz w:val="20"/>
                <w:szCs w:val="20"/>
                <w:color w:val="auto"/>
              </w:rPr>
            </w:pPr>
            <w:r>
              <w:rPr>
                <w:rFonts w:ascii="Arial" w:cs="Arial" w:eastAsia="Arial" w:hAnsi="Arial"/>
                <w:sz w:val="12"/>
                <w:szCs w:val="12"/>
                <w:color w:val="auto"/>
              </w:rPr>
              <w:t>Six Months Ended</w:t>
            </w: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jc w:val="right"/>
              <w:ind w:right="520"/>
              <w:spacing w:after="0"/>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ind w:left="420"/>
              <w:spacing w:after="0"/>
              <w:rPr>
                <w:sz w:val="20"/>
                <w:szCs w:val="20"/>
                <w:color w:val="auto"/>
              </w:rPr>
            </w:pPr>
            <w:r>
              <w:rPr>
                <w:rFonts w:ascii="Arial" w:cs="Arial" w:eastAsia="Arial" w:hAnsi="Arial"/>
                <w:sz w:val="12"/>
                <w:szCs w:val="12"/>
                <w:color w:val="auto"/>
                <w:w w:val="95"/>
              </w:rPr>
              <w:t>June 30,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rPr>
              <w:t>2015</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rPr>
              <w:t>2016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rPr>
              <w:t>2016</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rPr>
              <w:t>2017</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7"/>
          </w:tcPr>
          <w:p>
            <w:pPr>
              <w:ind w:left="42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Net (loss) income</w:t>
            </w:r>
          </w:p>
        </w:tc>
        <w:tc>
          <w:tcPr>
            <w:tcW w:w="2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(1,636)</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6,497</w:t>
            </w:r>
          </w:p>
        </w:tc>
        <w:tc>
          <w:tcPr>
            <w:tcW w:w="60" w:type="dxa"/>
            <w:vAlign w:val="bottom"/>
          </w:tcPr>
          <w:p>
            <w:pPr>
              <w:spacing w:after="0"/>
              <w:rPr>
                <w:sz w:val="11"/>
                <w:szCs w:val="11"/>
                <w:color w:val="auto"/>
              </w:rPr>
            </w:pP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521</w:t>
            </w:r>
          </w:p>
        </w:tc>
        <w:tc>
          <w:tcPr>
            <w:tcW w:w="60" w:type="dxa"/>
            <w:vAlign w:val="bottom"/>
          </w:tcPr>
          <w:p>
            <w:pPr>
              <w:spacing w:after="0"/>
              <w:rPr>
                <w:sz w:val="11"/>
                <w:szCs w:val="11"/>
                <w:color w:val="auto"/>
              </w:rPr>
            </w:pPr>
          </w:p>
        </w:tc>
        <w:tc>
          <w:tcPr>
            <w:tcW w:w="1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8,553</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Deemed dividend to preferred stockholders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(15,930)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(32,087)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Net income attributable to participating securities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(5,045)</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5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(loss) income attributable to common stockholders — basic</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(17,566)</w:t>
            </w:r>
          </w:p>
        </w:tc>
        <w:tc>
          <w:tcPr>
            <w:tcW w:w="1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(25,590)</w:t>
            </w:r>
          </w:p>
        </w:tc>
        <w:tc>
          <w:tcPr>
            <w:tcW w:w="1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228</w:t>
            </w: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3,508</w:t>
            </w:r>
          </w:p>
        </w:tc>
        <w:tc>
          <w:tcPr>
            <w:tcW w:w="100" w:type="dxa"/>
            <w:vAlign w:val="bottom"/>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ind w:left="1140"/>
              <w:spacing w:after="0"/>
              <w:rPr>
                <w:sz w:val="20"/>
                <w:szCs w:val="20"/>
                <w:color w:val="auto"/>
              </w:rPr>
            </w:pPr>
            <w:r>
              <w:rPr>
                <w:rFonts w:ascii="Arial" w:cs="Arial" w:eastAsia="Arial" w:hAnsi="Arial"/>
                <w:sz w:val="12"/>
                <w:szCs w:val="12"/>
                <w:color w:val="auto"/>
              </w:rPr>
              <w:t>Net (loss) income</w:t>
            </w: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(1,636)</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6,497</w:t>
            </w:r>
          </w:p>
        </w:tc>
        <w:tc>
          <w:tcPr>
            <w:tcW w:w="60" w:type="dxa"/>
            <w:vAlign w:val="bottom"/>
          </w:tcPr>
          <w:p>
            <w:pPr>
              <w:spacing w:after="0"/>
              <w:rPr>
                <w:sz w:val="11"/>
                <w:szCs w:val="11"/>
                <w:color w:val="auto"/>
              </w:rPr>
            </w:pP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521</w:t>
            </w:r>
          </w:p>
        </w:tc>
        <w:tc>
          <w:tcPr>
            <w:tcW w:w="60" w:type="dxa"/>
            <w:vAlign w:val="bottom"/>
          </w:tcPr>
          <w:p>
            <w:pPr>
              <w:spacing w:after="0"/>
              <w:rPr>
                <w:sz w:val="11"/>
                <w:szCs w:val="11"/>
                <w:color w:val="auto"/>
              </w:rPr>
            </w:pPr>
          </w:p>
        </w:tc>
        <w:tc>
          <w:tcPr>
            <w:tcW w:w="1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8,553</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Deemed dividend to preferred stockholders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(15,930)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(32,087)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Net income attributable to participating securities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(4,853)</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tcPr>
          <w:p>
            <w:pPr>
              <w:spacing w:after="0"/>
              <w:rPr>
                <w:sz w:val="11"/>
                <w:szCs w:val="11"/>
                <w:color w:val="auto"/>
              </w:rPr>
            </w:pPr>
          </w:p>
        </w:tc>
        <w:tc>
          <w:tcPr>
            <w:tcW w:w="5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(loss) income attributable to common stockholders — diluted</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(17,566)</w:t>
            </w:r>
          </w:p>
        </w:tc>
        <w:tc>
          <w:tcPr>
            <w:tcW w:w="1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(25,590)</w:t>
            </w:r>
          </w:p>
        </w:tc>
        <w:tc>
          <w:tcPr>
            <w:tcW w:w="1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236</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3,700</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gridSpan w:val="2"/>
          </w:tcPr>
          <w:p>
            <w:pPr>
              <w:ind w:left="1140"/>
              <w:spacing w:after="0" w:line="135" w:lineRule="exact"/>
              <w:rPr>
                <w:sz w:val="20"/>
                <w:szCs w:val="20"/>
                <w:color w:val="auto"/>
              </w:rPr>
            </w:pPr>
            <w:r>
              <w:rPr>
                <w:rFonts w:ascii="Arial" w:cs="Arial" w:eastAsia="Arial" w:hAnsi="Arial"/>
                <w:sz w:val="12"/>
                <w:szCs w:val="12"/>
                <w:b w:val="1"/>
                <w:bCs w:val="1"/>
                <w:color w:val="auto"/>
              </w:rPr>
              <w:t>Denominator:</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number of shares of common stock used in computing net (loss) income per share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57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attributable to common stockholders — basic</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43,141,236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44,138,922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44,651,235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42,122,339</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Dilutive effect of share equivalents resulting from stock options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3,375,060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4,060,020</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700" w:type="dxa"/>
            <w:vAlign w:val="bottom"/>
            <w:shd w:val="clear" w:color="auto" w:fill="CCEEFF"/>
          </w:tcPr>
          <w:p>
            <w:pPr>
              <w:ind w:left="120"/>
              <w:spacing w:after="0" w:line="126" w:lineRule="exact"/>
              <w:rPr>
                <w:sz w:val="20"/>
                <w:szCs w:val="20"/>
                <w:color w:val="auto"/>
              </w:rPr>
            </w:pPr>
            <w:r>
              <w:rPr>
                <w:rFonts w:ascii="Arial" w:cs="Arial" w:eastAsia="Arial" w:hAnsi="Arial"/>
                <w:sz w:val="12"/>
                <w:szCs w:val="12"/>
                <w:color w:val="auto"/>
              </w:rPr>
              <w:t>Weighted-average number of shares of common stock used in computing net (loss) income per share —</w:t>
            </w: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5700" w:type="dxa"/>
            <w:vAlign w:val="bottom"/>
            <w:shd w:val="clear" w:color="auto" w:fill="CCEEFF"/>
          </w:tcPr>
          <w:p>
            <w:pPr>
              <w:ind w:left="240"/>
              <w:spacing w:after="0" w:line="133" w:lineRule="exact"/>
              <w:rPr>
                <w:sz w:val="20"/>
                <w:szCs w:val="20"/>
                <w:color w:val="auto"/>
              </w:rPr>
            </w:pPr>
            <w:r>
              <w:rPr>
                <w:rFonts w:ascii="Arial" w:cs="Arial" w:eastAsia="Arial" w:hAnsi="Arial"/>
                <w:sz w:val="12"/>
                <w:szCs w:val="12"/>
                <w:color w:val="auto"/>
              </w:rPr>
              <w:t>diluted</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43,141,236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44,138,922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48,026,295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46,182,359</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gridSpan w:val="2"/>
          </w:tcPr>
          <w:p>
            <w:pPr>
              <w:ind w:left="1140"/>
              <w:spacing w:after="0" w:line="135" w:lineRule="exact"/>
              <w:rPr>
                <w:sz w:val="20"/>
                <w:szCs w:val="20"/>
                <w:color w:val="auto"/>
              </w:rPr>
            </w:pPr>
            <w:r>
              <w:rPr>
                <w:rFonts w:ascii="Arial" w:cs="Arial" w:eastAsia="Arial" w:hAnsi="Arial"/>
                <w:sz w:val="12"/>
                <w:szCs w:val="12"/>
                <w:color w:val="auto"/>
              </w:rPr>
              <w:t>Net (loss) income per share attributable to common stockholders: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Basic</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(0.41)</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(0.58)</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ind w:left="1140"/>
              <w:spacing w:after="0"/>
              <w:rPr>
                <w:sz w:val="20"/>
                <w:szCs w:val="20"/>
                <w:color w:val="auto"/>
              </w:rPr>
            </w:pPr>
            <w:r>
              <w:rPr>
                <w:rFonts w:ascii="Arial" w:cs="Arial" w:eastAsia="Arial" w:hAnsi="Arial"/>
                <w:sz w:val="12"/>
                <w:szCs w:val="12"/>
                <w:color w:val="auto"/>
              </w:rPr>
              <w:t>Diluted</w:t>
            </w: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(0.41)</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(0.58)</w:t>
            </w: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0.08</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5700" w:type="dxa"/>
            <w:vAlign w:val="bottom"/>
          </w:tcPr>
          <w:p>
            <w:pPr>
              <w:ind w:left="4480"/>
              <w:spacing w:after="0"/>
              <w:rPr>
                <w:sz w:val="20"/>
                <w:szCs w:val="20"/>
                <w:color w:val="auto"/>
              </w:rPr>
            </w:pPr>
            <w:r>
              <w:rPr>
                <w:rFonts w:ascii="Arial" w:cs="Arial" w:eastAsia="Arial" w:hAnsi="Arial"/>
                <w:sz w:val="12"/>
                <w:szCs w:val="12"/>
                <w:color w:val="auto"/>
              </w:rPr>
              <w:t>F-24</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140" w:type="dxa"/>
            <w:vAlign w:val="bottom"/>
            <w:tcBorders>
              <w:bottom w:val="single" w:sz="8" w:color="808080"/>
            </w:tcBorders>
          </w:tcPr>
          <w:p>
            <w:pPr>
              <w:spacing w:after="0"/>
              <w:rPr>
                <w:sz w:val="12"/>
                <w:szCs w:val="12"/>
                <w:color w:val="auto"/>
              </w:rPr>
            </w:pPr>
          </w:p>
        </w:tc>
        <w:tc>
          <w:tcPr>
            <w:tcW w:w="57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95" w:name="page196"/>
    <w:bookmarkEnd w:id="195"/>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firstLine="323"/>
        <w:spacing w:after="0" w:line="239" w:lineRule="auto"/>
        <w:rPr>
          <w:sz w:val="20"/>
          <w:szCs w:val="20"/>
          <w:color w:val="auto"/>
        </w:rPr>
      </w:pPr>
      <w:r>
        <w:rPr>
          <w:rFonts w:ascii="Arial" w:cs="Arial" w:eastAsia="Arial" w:hAnsi="Arial"/>
          <w:sz w:val="12"/>
          <w:szCs w:val="12"/>
          <w:color w:val="auto"/>
        </w:rPr>
        <w:t>The following potentially dilutive common stock equivalents have been excluded from the calculation of diluted weighted-average shares outstanding for the years ended December 31, 2015 and 2016 and the six months ended June 30, 2016 and 2017, as their effect would have been anti-dilutive for the periods presented:</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40"/>
        </w:trPr>
        <w:tc>
          <w:tcPr>
            <w:tcW w:w="6300" w:type="dxa"/>
            <w:vAlign w:val="bottom"/>
          </w:tcPr>
          <w:p>
            <w:pPr>
              <w:spacing w:after="0"/>
              <w:rPr>
                <w:sz w:val="12"/>
                <w:szCs w:val="12"/>
                <w:color w:val="auto"/>
              </w:rPr>
            </w:pPr>
          </w:p>
        </w:tc>
        <w:tc>
          <w:tcPr>
            <w:tcW w:w="1380" w:type="dxa"/>
            <w:vAlign w:val="bottom"/>
            <w:gridSpan w:val="3"/>
          </w:tcPr>
          <w:p>
            <w:pPr>
              <w:jc w:val="right"/>
              <w:ind w:right="321"/>
              <w:spacing w:after="0"/>
              <w:rPr>
                <w:sz w:val="20"/>
                <w:szCs w:val="20"/>
                <w:color w:val="auto"/>
              </w:rPr>
            </w:pPr>
            <w:r>
              <w:rPr>
                <w:rFonts w:ascii="Arial" w:cs="Arial" w:eastAsia="Arial" w:hAnsi="Arial"/>
                <w:sz w:val="12"/>
                <w:szCs w:val="12"/>
                <w:color w:val="auto"/>
              </w:rPr>
              <w:t>Year Ended</w:t>
            </w:r>
          </w:p>
        </w:tc>
        <w:tc>
          <w:tcPr>
            <w:tcW w:w="100" w:type="dxa"/>
            <w:vAlign w:val="bottom"/>
          </w:tcPr>
          <w:p>
            <w:pPr>
              <w:spacing w:after="0"/>
              <w:rPr>
                <w:sz w:val="12"/>
                <w:szCs w:val="12"/>
                <w:color w:val="auto"/>
              </w:rPr>
            </w:pPr>
          </w:p>
        </w:tc>
        <w:tc>
          <w:tcPr>
            <w:tcW w:w="1420" w:type="dxa"/>
            <w:vAlign w:val="bottom"/>
            <w:gridSpan w:val="4"/>
          </w:tcPr>
          <w:p>
            <w:pPr>
              <w:ind w:left="360"/>
              <w:spacing w:after="0"/>
              <w:rPr>
                <w:sz w:val="20"/>
                <w:szCs w:val="20"/>
                <w:color w:val="auto"/>
              </w:rPr>
            </w:pPr>
            <w:r>
              <w:rPr>
                <w:rFonts w:ascii="Arial" w:cs="Arial" w:eastAsia="Arial" w:hAnsi="Arial"/>
                <w:sz w:val="12"/>
                <w:szCs w:val="12"/>
                <w:color w:val="auto"/>
              </w:rPr>
              <w:t>Six Months</w:t>
            </w:r>
          </w:p>
        </w:tc>
      </w:tr>
      <w:tr>
        <w:trPr>
          <w:trHeight w:val="154"/>
        </w:trPr>
        <w:tc>
          <w:tcPr>
            <w:tcW w:w="630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2"/>
                <w:szCs w:val="12"/>
                <w:color w:val="auto"/>
              </w:rPr>
              <w:t>December 31,</w:t>
            </w:r>
          </w:p>
        </w:tc>
        <w:tc>
          <w:tcPr>
            <w:tcW w:w="10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2"/>
                <w:szCs w:val="12"/>
                <w:color w:val="auto"/>
              </w:rPr>
              <w:t>Ended June 30,</w:t>
            </w:r>
          </w:p>
        </w:tc>
        <w:tc>
          <w:tcPr>
            <w:tcW w:w="120" w:type="dxa"/>
            <w:vAlign w:val="bottom"/>
          </w:tcPr>
          <w:p>
            <w:pPr>
              <w:spacing w:after="0"/>
              <w:rPr>
                <w:sz w:val="13"/>
                <w:szCs w:val="13"/>
                <w:color w:val="auto"/>
              </w:rPr>
            </w:pPr>
          </w:p>
        </w:tc>
      </w:tr>
      <w:tr>
        <w:trPr>
          <w:trHeight w:val="160"/>
        </w:trPr>
        <w:tc>
          <w:tcPr>
            <w:tcW w:w="6300" w:type="dxa"/>
            <w:vAlign w:val="bottom"/>
          </w:tcPr>
          <w:p>
            <w:pPr>
              <w:spacing w:after="0"/>
              <w:rPr>
                <w:sz w:val="13"/>
                <w:szCs w:val="13"/>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r>
      <w:tr>
        <w:trPr>
          <w:trHeight w:val="143"/>
        </w:trPr>
        <w:tc>
          <w:tcPr>
            <w:tcW w:w="6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380"/>
              <w:spacing w:after="0"/>
              <w:rPr>
                <w:sz w:val="20"/>
                <w:szCs w:val="20"/>
                <w:color w:val="auto"/>
              </w:rPr>
            </w:pPr>
            <w:r>
              <w:rPr>
                <w:rFonts w:ascii="Arial" w:cs="Arial" w:eastAsia="Arial" w:hAnsi="Arial"/>
                <w:sz w:val="12"/>
                <w:szCs w:val="12"/>
                <w:color w:val="auto"/>
              </w:rPr>
              <w:t>(unaudited)</w:t>
            </w:r>
          </w:p>
        </w:tc>
      </w:tr>
      <w:tr>
        <w:trPr>
          <w:trHeight w:val="135"/>
        </w:trPr>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 options outstanding</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5,626,710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5,698,812</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1,172,940</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1,224,477</w:t>
            </w:r>
          </w:p>
        </w:tc>
        <w:tc>
          <w:tcPr>
            <w:tcW w:w="120" w:type="dxa"/>
            <w:vAlign w:val="bottom"/>
            <w:shd w:val="clear" w:color="auto" w:fill="CCEEFF"/>
          </w:tcPr>
          <w:p>
            <w:pPr>
              <w:spacing w:after="0"/>
              <w:rPr>
                <w:sz w:val="11"/>
                <w:szCs w:val="11"/>
                <w:color w:val="auto"/>
              </w:rPr>
            </w:pP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Restricted stock units outstanding</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553,986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1,580,094</w:t>
            </w:r>
          </w:p>
        </w:tc>
        <w:tc>
          <w:tcPr>
            <w:tcW w:w="7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817,986</w:t>
            </w:r>
          </w:p>
        </w:tc>
        <w:tc>
          <w:tcPr>
            <w:tcW w:w="7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2,369,802</w:t>
            </w:r>
          </w:p>
        </w:tc>
        <w:tc>
          <w:tcPr>
            <w:tcW w:w="120" w:type="dxa"/>
            <w:vAlign w:val="bottom"/>
          </w:tcPr>
          <w:p>
            <w:pPr>
              <w:spacing w:after="0"/>
              <w:rPr>
                <w:sz w:val="11"/>
                <w:szCs w:val="11"/>
                <w:color w:val="auto"/>
              </w:rPr>
            </w:pPr>
          </w:p>
        </w:tc>
      </w:tr>
      <w:tr>
        <w:trPr>
          <w:trHeight w:val="135"/>
        </w:trPr>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Convertible preferred stock</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9,586,620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10,094,108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Unaudited Pro Forma Net Income Per Share</w:t>
      </w:r>
    </w:p>
    <w:p>
      <w:pPr>
        <w:spacing w:after="0" w:line="155" w:lineRule="exact"/>
        <w:rPr>
          <w:sz w:val="20"/>
          <w:szCs w:val="20"/>
          <w:color w:val="auto"/>
        </w:rPr>
      </w:pPr>
    </w:p>
    <w:p>
      <w:pPr>
        <w:ind w:right="40" w:firstLine="326"/>
        <w:spacing w:after="0" w:line="239" w:lineRule="auto"/>
        <w:rPr>
          <w:sz w:val="20"/>
          <w:szCs w:val="20"/>
          <w:color w:val="auto"/>
        </w:rPr>
      </w:pPr>
      <w:r>
        <w:rPr>
          <w:rFonts w:ascii="Arial" w:cs="Arial" w:eastAsia="Arial" w:hAnsi="Arial"/>
          <w:sz w:val="12"/>
          <w:szCs w:val="12"/>
          <w:color w:val="auto"/>
        </w:rPr>
        <w:t>Unaudited pro forma basic and diluted net income per share have been computed using the weighted-average number of shares of common stock outstanding after giving pro forma effect to the conversion of all shares of convertible preferred stock into common stock, as if such conversions had occurred as of the date of original issuance.</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20"/>
          </w:cols>
          <w:pgMar w:left="220" w:top="142" w:right="45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38"/>
        </w:trPr>
        <w:tc>
          <w:tcPr>
            <w:tcW w:w="846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9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ind w:left="4200"/>
              <w:spacing w:after="0"/>
              <w:rPr>
                <w:sz w:val="20"/>
                <w:szCs w:val="20"/>
                <w:color w:val="auto"/>
              </w:rPr>
            </w:pPr>
            <w:r>
              <w:rPr>
                <w:rFonts w:ascii="Arial" w:cs="Arial" w:eastAsia="Arial" w:hAnsi="Arial"/>
                <w:sz w:val="12"/>
                <w:szCs w:val="12"/>
                <w:b w:val="1"/>
                <w:bCs w:val="1"/>
                <w:color w:val="auto"/>
              </w:rPr>
              <w:t>CarGurus, Inc.</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ind w:left="3020"/>
              <w:spacing w:after="0"/>
              <w:rPr>
                <w:sz w:val="20"/>
                <w:szCs w:val="20"/>
                <w:color w:val="auto"/>
              </w:rPr>
            </w:pPr>
            <w:r>
              <w:rPr>
                <w:rFonts w:ascii="Arial" w:cs="Arial" w:eastAsia="Arial" w:hAnsi="Arial"/>
                <w:sz w:val="12"/>
                <w:szCs w:val="12"/>
                <w:b w:val="1"/>
                <w:bCs w:val="1"/>
                <w:color w:val="auto"/>
              </w:rPr>
              <w:t>Notes to Consolidated Financial Statements (Continued)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460" w:type="dxa"/>
            <w:vAlign w:val="bottom"/>
            <w:gridSpan w:val="3"/>
          </w:tcPr>
          <w:p>
            <w:pPr>
              <w:spacing w:after="0"/>
              <w:rPr>
                <w:sz w:val="20"/>
                <w:szCs w:val="20"/>
                <w:color w:val="auto"/>
              </w:rPr>
            </w:pPr>
            <w:r>
              <w:rPr>
                <w:rFonts w:ascii="Arial" w:cs="Arial" w:eastAsia="Arial" w:hAnsi="Arial"/>
                <w:sz w:val="12"/>
                <w:szCs w:val="12"/>
                <w:b w:val="1"/>
                <w:bCs w:val="1"/>
                <w:color w:val="auto"/>
              </w:rPr>
              <w:t>2. Summary of Significant Accounting Policies (Continued)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460" w:type="dxa"/>
            <w:vAlign w:val="bottom"/>
            <w:gridSpan w:val="3"/>
          </w:tcPr>
          <w:p>
            <w:pPr>
              <w:ind w:left="320"/>
              <w:spacing w:after="0"/>
              <w:rPr>
                <w:sz w:val="20"/>
                <w:szCs w:val="20"/>
                <w:color w:val="auto"/>
              </w:rPr>
            </w:pPr>
            <w:r>
              <w:rPr>
                <w:rFonts w:ascii="Arial" w:cs="Arial" w:eastAsia="Arial" w:hAnsi="Arial"/>
                <w:sz w:val="12"/>
                <w:szCs w:val="12"/>
                <w:color w:val="auto"/>
              </w:rPr>
              <w:t>A reconciliation of the pro forma net (loss) income per share is as follows: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color w:val="auto"/>
                <w:w w:val="97"/>
              </w:rPr>
              <w:t>Six Months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Year Ended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7"/>
              </w:rPr>
              <w:t>Ended</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w w:val="95"/>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color w:val="auto"/>
                <w:w w:val="99"/>
              </w:rPr>
              <w:t>June 30,</w:t>
            </w:r>
          </w:p>
        </w:tc>
        <w:tc>
          <w:tcPr>
            <w:tcW w:w="0" w:type="dxa"/>
            <w:vAlign w:val="bottom"/>
          </w:tcPr>
          <w:p>
            <w:pPr>
              <w:spacing w:after="0"/>
              <w:rPr>
                <w:sz w:val="1"/>
                <w:szCs w:val="1"/>
                <w:color w:val="auto"/>
              </w:rPr>
            </w:pPr>
          </w:p>
        </w:tc>
      </w:tr>
      <w:tr>
        <w:trPr>
          <w:trHeight w:val="154"/>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rPr>
              <w:t>2016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ind w:left="54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Numerator:</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5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Net (loss)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6,497</w:t>
            </w:r>
          </w:p>
        </w:tc>
        <w:tc>
          <w:tcPr>
            <w:tcW w:w="60" w:type="dxa"/>
            <w:vAlign w:val="bottom"/>
          </w:tcPr>
          <w:p>
            <w:pPr>
              <w:spacing w:after="0"/>
              <w:rPr>
                <w:sz w:val="11"/>
                <w:szCs w:val="11"/>
                <w:color w:val="auto"/>
              </w:rPr>
            </w:pPr>
          </w:p>
        </w:tc>
        <w:tc>
          <w:tcPr>
            <w:tcW w:w="1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8,553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Deemed dividend to preferred stockholders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(32,087)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(loss) income attributable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(25,590)</w:t>
            </w:r>
          </w:p>
        </w:tc>
        <w:tc>
          <w:tcPr>
            <w:tcW w:w="1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8,553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56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Denominator:</w:t>
            </w: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number of shares of common stock used in computing net (loss) income per share attributable to common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stockholders — basic</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44,138,922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42,122,339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tcPr>
          <w:p>
            <w:pPr>
              <w:ind w:left="120"/>
              <w:spacing w:after="0" w:line="135" w:lineRule="exact"/>
              <w:rPr>
                <w:sz w:val="20"/>
                <w:szCs w:val="20"/>
                <w:color w:val="auto"/>
              </w:rPr>
            </w:pPr>
            <w:r>
              <w:rPr>
                <w:rFonts w:ascii="Arial" w:cs="Arial" w:eastAsia="Arial" w:hAnsi="Arial"/>
                <w:sz w:val="12"/>
                <w:szCs w:val="12"/>
                <w:color w:val="auto"/>
              </w:rPr>
              <w:t>Adjustment for assumed conversion of convertible preferred stock</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60,564,678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60,564,678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32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Weighted-average number of shares of common stock used in computing pro forma net (loss) income per share — basic</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104,703,600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102,687,017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tcPr>
          <w:p>
            <w:pPr>
              <w:ind w:left="120"/>
              <w:spacing w:after="0" w:line="135" w:lineRule="exact"/>
              <w:rPr>
                <w:sz w:val="20"/>
                <w:szCs w:val="20"/>
                <w:color w:val="auto"/>
              </w:rPr>
            </w:pPr>
            <w:r>
              <w:rPr>
                <w:rFonts w:ascii="Arial" w:cs="Arial" w:eastAsia="Arial" w:hAnsi="Arial"/>
                <w:sz w:val="12"/>
                <w:szCs w:val="12"/>
                <w:color w:val="auto"/>
              </w:rPr>
              <w:t>Dilutive effect of share equivalents resulting from stock options and restricted stock units</w:t>
            </w: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4,060,020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32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Weighted-average number of shares of common stock used in computing net (loss) income per share — diluted</w:t>
            </w: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104,703,600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106,747,037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tcPr>
          <w:p>
            <w:pPr>
              <w:ind w:left="240"/>
              <w:spacing w:after="0" w:line="135" w:lineRule="exact"/>
              <w:rPr>
                <w:sz w:val="20"/>
                <w:szCs w:val="20"/>
                <w:color w:val="auto"/>
              </w:rPr>
            </w:pPr>
            <w:r>
              <w:rPr>
                <w:rFonts w:ascii="Arial" w:cs="Arial" w:eastAsia="Arial" w:hAnsi="Arial"/>
                <w:sz w:val="12"/>
                <w:szCs w:val="12"/>
                <w:color w:val="auto"/>
              </w:rPr>
              <w:t>Pro forma net (loss) income per share attributable to common stockholders: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(0.24)</w:t>
            </w:r>
          </w:p>
        </w:tc>
        <w:tc>
          <w:tcPr>
            <w:tcW w:w="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vMerge w:val="restart"/>
          </w:tcPr>
          <w:p>
            <w:pPr>
              <w:ind w:left="2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32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(0.24)</w:t>
            </w:r>
          </w:p>
        </w:tc>
        <w:tc>
          <w:tcPr>
            <w:tcW w:w="1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 Income</w:t>
      </w:r>
    </w:p>
    <w:p>
      <w:pPr>
        <w:spacing w:after="0" w:line="155"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Comprehensive (loss) income is defined as the change in stockholders' equity of a business enterprise during a period from transactions and other events and circumstances from non-owner sources. Comprehensive (loss) income consists of net (loss) income and other comprehensive (loss) income, which includes certain changes in equity that are excluded from net (loss) income. Specifically, cumulative foreign currency translation adjustments are included in accumulated other comprehensive (loss) income. As of December 31, 2015 and 2016, and June 30, 2017, accumulated other comprehensive (loss) income is presented separately on the consolidated balance sheets and consists entirely of cumulative foreign currency translation adjustments.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Contingent Liabilities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has certain contingent liabilities that arise in the ordinary course of business activities. The Company accrues for loss contingencies when losses become probable and 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7" w:name="page198"/>
    <w:bookmarkEnd w:id="197"/>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right="240"/>
        <w:spacing w:after="0" w:line="239" w:lineRule="auto"/>
        <w:rPr>
          <w:sz w:val="20"/>
          <w:szCs w:val="20"/>
          <w:color w:val="auto"/>
        </w:rPr>
      </w:pPr>
      <w:r>
        <w:rPr>
          <w:rFonts w:ascii="Arial" w:cs="Arial" w:eastAsia="Arial" w:hAnsi="Arial"/>
          <w:sz w:val="12"/>
          <w:szCs w:val="12"/>
          <w:color w:val="auto"/>
        </w:rPr>
        <w:t>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IPO Issuance Costs</w:t>
      </w:r>
    </w:p>
    <w:p>
      <w:pPr>
        <w:spacing w:after="0" w:line="155" w:lineRule="exact"/>
        <w:rPr>
          <w:sz w:val="20"/>
          <w:szCs w:val="20"/>
          <w:color w:val="auto"/>
        </w:rPr>
      </w:pPr>
    </w:p>
    <w:p>
      <w:pPr>
        <w:ind w:right="120" w:firstLine="326"/>
        <w:spacing w:after="0" w:line="237" w:lineRule="auto"/>
        <w:rPr>
          <w:sz w:val="20"/>
          <w:szCs w:val="20"/>
          <w:color w:val="auto"/>
        </w:rPr>
      </w:pPr>
      <w:r>
        <w:rPr>
          <w:rFonts w:ascii="Arial" w:cs="Arial" w:eastAsia="Arial" w:hAnsi="Arial"/>
          <w:sz w:val="12"/>
          <w:szCs w:val="12"/>
          <w:color w:val="auto"/>
        </w:rPr>
        <w:t>Stock issuance costs, which primarily consist of direct incremental legal and accounting fees relating to the IPO, are capitalized. The deferred issuance costs will be offset against IPO proceeds upon the consummation of the Company's proposed offering. In the event the IPO is terminated, or delayed more than 90 days, deferred offering costs will be expensed. As of December 31, 2015 and 2016, there were no deferred IPO issuance costs recorded. As of June 30, 2017, $1.9 million of deferred issuance costs were recorded in other long-term assets in the accompanying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Emerging Growth Company Status</w:t>
      </w:r>
    </w:p>
    <w:p>
      <w:pPr>
        <w:spacing w:after="0" w:line="155" w:lineRule="exact"/>
        <w:rPr>
          <w:sz w:val="20"/>
          <w:szCs w:val="20"/>
          <w:color w:val="auto"/>
        </w:rPr>
      </w:pPr>
    </w:p>
    <w:p>
      <w:pPr>
        <w:ind w:firstLine="323"/>
        <w:spacing w:after="0" w:line="236" w:lineRule="auto"/>
        <w:rPr>
          <w:sz w:val="20"/>
          <w:szCs w:val="20"/>
          <w:color w:val="auto"/>
        </w:rPr>
      </w:pPr>
      <w:r>
        <w:rPr>
          <w:rFonts w:ascii="Arial" w:cs="Arial" w:eastAsia="Arial" w:hAnsi="Arial"/>
          <w:sz w:val="12"/>
          <w:szCs w:val="12"/>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 The Company would cease to be an emerging growth company if it has more than $1.07 billion in annual revenue, has more than $700.0 million in market value of its stock held by non-affiliates (and it has been a public company for at least 12 months, and has filed one annual report on Form 10-K), or it issues more than $1.0 billion of non-convertible debt securities over a three-year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5" w:lineRule="exact"/>
        <w:rPr>
          <w:sz w:val="20"/>
          <w:szCs w:val="20"/>
          <w:color w:val="auto"/>
        </w:rPr>
      </w:pPr>
    </w:p>
    <w:p>
      <w:pPr>
        <w:ind w:right="500" w:firstLine="326"/>
        <w:spacing w:after="0" w:line="239" w:lineRule="auto"/>
        <w:rPr>
          <w:sz w:val="20"/>
          <w:szCs w:val="20"/>
          <w:color w:val="auto"/>
        </w:rPr>
      </w:pPr>
      <w:r>
        <w:rPr>
          <w:rFonts w:ascii="Arial" w:cs="Arial" w:eastAsia="Arial" w:hAnsi="Arial"/>
          <w:sz w:val="12"/>
          <w:szCs w:val="12"/>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27" w:lineRule="exact"/>
        <w:rPr>
          <w:sz w:val="20"/>
          <w:szCs w:val="20"/>
          <w:color w:val="auto"/>
        </w:rPr>
      </w:pPr>
    </w:p>
    <w:p>
      <w:pPr>
        <w:ind w:right="100" w:firstLine="326"/>
        <w:spacing w:after="0" w:line="259" w:lineRule="auto"/>
        <w:rPr>
          <w:sz w:val="20"/>
          <w:szCs w:val="20"/>
          <w:color w:val="auto"/>
        </w:rPr>
      </w:pPr>
      <w:r>
        <w:rPr>
          <w:rFonts w:ascii="Arial" w:cs="Arial" w:eastAsia="Arial" w:hAnsi="Arial"/>
          <w:sz w:val="12"/>
          <w:szCs w:val="12"/>
          <w:color w:val="auto"/>
        </w:rPr>
        <w:t xml:space="preserve">In May 2014, the FASB issued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(ASU 2014-09), which modifies how all entities recognize revenue, and consolidates into one ASC Topic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 current guidance found in ASC Topic 605, and various other revenue accounting standards for specialized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98" w:name="page199"/>
    <w:bookmarkEnd w:id="19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2"/>
          <w:szCs w:val="12"/>
          <w:color w:val="auto"/>
        </w:rPr>
        <w:t>transactions and industries. ASU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w:t>
      </w:r>
    </w:p>
    <w:p>
      <w:pPr>
        <w:spacing w:after="0" w:line="129" w:lineRule="exact"/>
        <w:rPr>
          <w:sz w:val="20"/>
          <w:szCs w:val="20"/>
          <w:color w:val="auto"/>
        </w:rPr>
      </w:pPr>
    </w:p>
    <w:p>
      <w:pPr>
        <w:ind w:right="80" w:firstLine="326"/>
        <w:spacing w:after="0" w:line="264" w:lineRule="auto"/>
        <w:rPr>
          <w:sz w:val="20"/>
          <w:szCs w:val="20"/>
          <w:color w:val="auto"/>
        </w:rPr>
      </w:pPr>
      <w:r>
        <w:rPr>
          <w:rFonts w:ascii="Arial" w:cs="Arial" w:eastAsia="Arial" w:hAnsi="Arial"/>
          <w:sz w:val="11"/>
          <w:szCs w:val="11"/>
          <w:color w:val="auto"/>
        </w:rPr>
        <w:t xml:space="preserve">In August 2015, the FASB issued ASU 2015-14, </w:t>
      </w:r>
      <w:r>
        <w:rPr>
          <w:rFonts w:ascii="Arial" w:cs="Arial" w:eastAsia="Arial" w:hAnsi="Arial"/>
          <w:sz w:val="11"/>
          <w:szCs w:val="11"/>
          <w:i w:val="1"/>
          <w:iCs w:val="1"/>
          <w:color w:val="auto"/>
        </w:rPr>
        <w:t>Revenue from Contracts with Customers (Topic 606): Deferral of Effective Date</w:t>
      </w:r>
      <w:r>
        <w:rPr>
          <w:rFonts w:ascii="Arial" w:cs="Arial" w:eastAsia="Arial" w:hAnsi="Arial"/>
          <w:sz w:val="11"/>
          <w:szCs w:val="11"/>
          <w:color w:val="auto"/>
        </w:rPr>
        <w:t xml:space="preserve"> (ASU 2015-14), which defers the effective date of ASU 2014-09 by one year. ASU 2014-09 is now effective for public entities for annual reporting periods beginning after December 15, 2017, including interim periods within those annual reporting periods. The Company has developed an implementation plan to adopt this new guidance. As part of this plan, the Company is currently assessing the impact of the new guidance on its results of operations. Based on the Company's procedures performed to date, nothing has come to its attention that would indicate that the adoption of ASU 2014-09 will have a material impact on its revenue recognition; however, further analysis is required and the Company will continue to evaluate this assessment throughout 2017. While the Company is still evaluating the impact that this guidance will have on its financial statements and related disclosures, the Company's preliminary assessment is that there will be an impact relating to the accounting for costs to acquire a contract. Under ASU 2015-14, the Company will be required to capitalize certain costs, primarily commission expense to sales representatives, on its consolidated balance sheet and amortize such costs over the period of performance for the underlying customer contracts. The Company is still evaluating the impact of capitalizing costs to execute a contract.</w:t>
      </w:r>
    </w:p>
    <w:p>
      <w:pPr>
        <w:spacing w:after="0" w:line="128" w:lineRule="exact"/>
        <w:rPr>
          <w:sz w:val="20"/>
          <w:szCs w:val="20"/>
          <w:color w:val="auto"/>
        </w:rPr>
      </w:pPr>
    </w:p>
    <w:p>
      <w:pPr>
        <w:jc w:val="both"/>
        <w:ind w:right="220" w:firstLine="326"/>
        <w:spacing w:after="0" w:line="237" w:lineRule="auto"/>
        <w:rPr>
          <w:sz w:val="20"/>
          <w:szCs w:val="20"/>
          <w:color w:val="auto"/>
        </w:rPr>
      </w:pPr>
      <w:r>
        <w:rPr>
          <w:rFonts w:ascii="Arial" w:cs="Arial" w:eastAsia="Arial" w:hAnsi="Arial"/>
          <w:sz w:val="12"/>
          <w:szCs w:val="12"/>
          <w:color w:val="auto"/>
        </w:rPr>
        <w:t>For non-public entities, the guidance is effective for annual periods beginning after December 15, 2018. Non-public entities are permitted to adopt the standard as early as annual reporting periods beginning after December 15, 2016 and interim periods therein. The Company currently expects to apply the modified retrospective method of adoption; however, it has not yet finalized its transition method, but expects to do so upon completion of further analysis.</w:t>
      </w:r>
    </w:p>
    <w:p>
      <w:pPr>
        <w:spacing w:after="0" w:line="129" w:lineRule="exact"/>
        <w:rPr>
          <w:sz w:val="20"/>
          <w:szCs w:val="20"/>
          <w:color w:val="auto"/>
        </w:rPr>
      </w:pPr>
    </w:p>
    <w:p>
      <w:pPr>
        <w:ind w:firstLine="326"/>
        <w:spacing w:after="0" w:line="241" w:lineRule="auto"/>
        <w:rPr>
          <w:sz w:val="20"/>
          <w:szCs w:val="20"/>
          <w:color w:val="auto"/>
        </w:rPr>
      </w:pPr>
      <w:r>
        <w:rPr>
          <w:rFonts w:ascii="Arial" w:cs="Arial" w:eastAsia="Arial" w:hAnsi="Arial"/>
          <w:sz w:val="12"/>
          <w:szCs w:val="12"/>
          <w:color w:val="auto"/>
        </w:rPr>
        <w:t xml:space="preserve">In April 2015, the FASB issued ASU No. 2015-05, </w:t>
      </w:r>
      <w:r>
        <w:rPr>
          <w:rFonts w:ascii="Arial" w:cs="Arial" w:eastAsia="Arial" w:hAnsi="Arial"/>
          <w:sz w:val="12"/>
          <w:szCs w:val="12"/>
          <w:i w:val="1"/>
          <w:iCs w:val="1"/>
          <w:color w:val="auto"/>
        </w:rPr>
        <w:t>Intangibles — Goodwill and Other — Internal-Use Software (Subtopic 350-40), Customer's Accounting for Fees Paid in a Cloud Computing Arrangement</w:t>
      </w:r>
      <w:r>
        <w:rPr>
          <w:rFonts w:ascii="Arial" w:cs="Arial" w:eastAsia="Arial" w:hAnsi="Arial"/>
          <w:sz w:val="12"/>
          <w:szCs w:val="12"/>
          <w:color w:val="auto"/>
        </w:rPr>
        <w:t xml:space="preserve"> (ASU 2015-05). ASU 2015-05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guidance will not change GAAP for a customer's accounting for service contracts. The ASU aims to reduce complexity and diversity in practice. The Company adopted this standard prospectively on January 1, 2016 and the adoption did not have a material impact on its consolidated financial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199" w:name="page200"/>
    <w:bookmarkEnd w:id="19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43" w:lineRule="exact"/>
        <w:rPr>
          <w:sz w:val="20"/>
          <w:szCs w:val="20"/>
          <w:color w:val="auto"/>
        </w:rPr>
      </w:pPr>
    </w:p>
    <w:p>
      <w:pPr>
        <w:ind w:right="60" w:firstLine="326"/>
        <w:spacing w:after="0" w:line="247" w:lineRule="auto"/>
        <w:rPr>
          <w:sz w:val="20"/>
          <w:szCs w:val="20"/>
          <w:color w:val="auto"/>
        </w:rPr>
      </w:pPr>
      <w:r>
        <w:rPr>
          <w:rFonts w:ascii="Arial" w:cs="Arial" w:eastAsia="Arial" w:hAnsi="Arial"/>
          <w:sz w:val="12"/>
          <w:szCs w:val="12"/>
          <w:color w:val="auto"/>
        </w:rPr>
        <w:t xml:space="preserve">In November 2015, the FASB issued ASU No. 2015-17, </w:t>
      </w:r>
      <w:r>
        <w:rPr>
          <w:rFonts w:ascii="Arial" w:cs="Arial" w:eastAsia="Arial" w:hAnsi="Arial"/>
          <w:sz w:val="12"/>
          <w:szCs w:val="12"/>
          <w:i w:val="1"/>
          <w:iCs w:val="1"/>
          <w:color w:val="auto"/>
        </w:rPr>
        <w:t>Income Taxes (Topic 740): Balance Sheet Classification of Deferred Taxes</w:t>
      </w:r>
      <w:r>
        <w:rPr>
          <w:rFonts w:ascii="Arial" w:cs="Arial" w:eastAsia="Arial" w:hAnsi="Arial"/>
          <w:sz w:val="12"/>
          <w:szCs w:val="12"/>
          <w:color w:val="auto"/>
        </w:rPr>
        <w:t xml:space="preserve"> (ASU 2015-17). The amendment requires entities with a classified balance sheet to present all deferred tax assets and liabilities as noncurrent. For non-public companies, the ASU is effective for annual periods, including interim periods within those annual periods, beginning after December 15, 2017. Early adoption is permitted. The Company retrospectively adopted ASU 2015-17 on January 1, 2016 and the adoption did not have a material impact on its consolidated financial statements.</w:t>
      </w:r>
    </w:p>
    <w:p>
      <w:pPr>
        <w:spacing w:after="0" w:line="123" w:lineRule="exact"/>
        <w:rPr>
          <w:sz w:val="20"/>
          <w:szCs w:val="20"/>
          <w:color w:val="auto"/>
        </w:rPr>
      </w:pPr>
    </w:p>
    <w:p>
      <w:pPr>
        <w:ind w:firstLine="326"/>
        <w:spacing w:after="0" w:line="241" w:lineRule="auto"/>
        <w:rPr>
          <w:sz w:val="20"/>
          <w:szCs w:val="20"/>
          <w:color w:val="auto"/>
        </w:rPr>
      </w:pPr>
      <w:r>
        <w:rPr>
          <w:rFonts w:ascii="Arial" w:cs="Arial" w:eastAsia="Arial" w:hAnsi="Arial"/>
          <w:sz w:val="12"/>
          <w:szCs w:val="12"/>
          <w:color w:val="auto"/>
        </w:rPr>
        <w:t>In February 2016, the FASB issued ASU 2016-02</w:t>
      </w:r>
      <w:r>
        <w:rPr>
          <w:rFonts w:ascii="Arial" w:cs="Arial" w:eastAsia="Arial" w:hAnsi="Arial"/>
          <w:sz w:val="12"/>
          <w:szCs w:val="12"/>
          <w:i w:val="1"/>
          <w:iCs w:val="1"/>
          <w:color w:val="auto"/>
        </w:rPr>
        <w:t>, Leases (Topic 842)</w:t>
      </w:r>
      <w:r>
        <w:rPr>
          <w:rFonts w:ascii="Arial" w:cs="Arial" w:eastAsia="Arial" w:hAnsi="Arial"/>
          <w:sz w:val="12"/>
          <w:szCs w:val="12"/>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public entities, the new standard is effective for interim and annual periods beginning on or after January 1, 2019, with early adoption permitted. For non-public entities, the new standard is effective for annual periods beginning after December 15, 2019, with early adoption permitted. The Company is evaluating the impact this new guidance may have on its consolidated financial statements.</w:t>
      </w:r>
    </w:p>
    <w:p>
      <w:pPr>
        <w:spacing w:after="0" w:line="127" w:lineRule="exact"/>
        <w:rPr>
          <w:sz w:val="20"/>
          <w:szCs w:val="20"/>
          <w:color w:val="auto"/>
        </w:rPr>
      </w:pPr>
    </w:p>
    <w:p>
      <w:pPr>
        <w:ind w:firstLine="326"/>
        <w:spacing w:after="0" w:line="243" w:lineRule="auto"/>
        <w:rPr>
          <w:sz w:val="20"/>
          <w:szCs w:val="20"/>
          <w:color w:val="auto"/>
        </w:rPr>
      </w:pPr>
      <w:r>
        <w:rPr>
          <w:rFonts w:ascii="Arial" w:cs="Arial" w:eastAsia="Arial" w:hAnsi="Arial"/>
          <w:sz w:val="12"/>
          <w:szCs w:val="12"/>
          <w:color w:val="auto"/>
        </w:rPr>
        <w:t xml:space="preserve">In August 2016, the FASB issued ASU No. 2016-15, </w:t>
      </w:r>
      <w:r>
        <w:rPr>
          <w:rFonts w:ascii="Arial" w:cs="Arial" w:eastAsia="Arial" w:hAnsi="Arial"/>
          <w:sz w:val="12"/>
          <w:szCs w:val="12"/>
          <w:i w:val="1"/>
          <w:iCs w:val="1"/>
          <w:color w:val="auto"/>
        </w:rPr>
        <w:t>Statement of Cash Flows (Topic 230): Classification of Certain Cash Receipts and Cash Payments</w:t>
      </w:r>
      <w:r>
        <w:rPr>
          <w:rFonts w:ascii="Arial" w:cs="Arial" w:eastAsia="Arial" w:hAnsi="Arial"/>
          <w:sz w:val="12"/>
          <w:szCs w:val="12"/>
          <w:color w:val="auto"/>
        </w:rPr>
        <w:t xml:space="preserve"> (ASU 2016-15). ASU 2016-15 is intended to add or clarify guidance on the classification of certain cash receipts and payments in the statement of cash flows and to eliminate the diversity in practice related to such classifications. For public entities, the guidance in ASU 2016-15 is required for annual reporting periods beginning after December 15, 2017, with early adoption permitted. For non-public entities, the guidance is effective for annual reporting periods beginning after December 15, 2018, with early adoption permitted. The Company is currently in the process of evaluating the impact and timing of adoption of the ASU 2016-15 on its consolidated financial statements.</w:t>
      </w:r>
    </w:p>
    <w:p>
      <w:pPr>
        <w:spacing w:after="0" w:line="126" w:lineRule="exact"/>
        <w:rPr>
          <w:sz w:val="20"/>
          <w:szCs w:val="20"/>
          <w:color w:val="auto"/>
        </w:rPr>
      </w:pPr>
    </w:p>
    <w:p>
      <w:pPr>
        <w:ind w:right="80" w:firstLine="326"/>
        <w:spacing w:after="0" w:line="241" w:lineRule="auto"/>
        <w:rPr>
          <w:sz w:val="20"/>
          <w:szCs w:val="20"/>
          <w:color w:val="auto"/>
        </w:rPr>
      </w:pPr>
      <w:r>
        <w:rPr>
          <w:rFonts w:ascii="Arial" w:cs="Arial" w:eastAsia="Arial" w:hAnsi="Arial"/>
          <w:sz w:val="12"/>
          <w:szCs w:val="12"/>
          <w:color w:val="auto"/>
        </w:rPr>
        <w:t xml:space="preserve">In November 2016, the FASB issued ASU No. 2016-18, </w:t>
      </w:r>
      <w:r>
        <w:rPr>
          <w:rFonts w:ascii="Arial" w:cs="Arial" w:eastAsia="Arial" w:hAnsi="Arial"/>
          <w:sz w:val="12"/>
          <w:szCs w:val="12"/>
          <w:i w:val="1"/>
          <w:iCs w:val="1"/>
          <w:color w:val="auto"/>
        </w:rPr>
        <w:t>Statement of Cash Flows (Topic 230): Restricted Cash</w:t>
      </w:r>
      <w:r>
        <w:rPr>
          <w:rFonts w:ascii="Arial" w:cs="Arial" w:eastAsia="Arial" w:hAnsi="Arial"/>
          <w:sz w:val="12"/>
          <w:szCs w:val="12"/>
          <w:color w:val="auto"/>
        </w:rPr>
        <w:t xml:space="preserve"> (ASU 2016-18). ASU 2016-18 requires that the statement of cash flows explain the change during the period in the total of cash, cash equivalents, and amounts generally described as restricted cash or restricted cash equivalents. Entities will also be required to reconcile such total to amounts on the balance sheet and disclose the nature of the restrictions. For public entities, the guidance is effective for annual reporting periods beginning after December 15, 2017, with early adoption permitted. For non-public entities, the amendments in ASU 2016-18 are effective for annual periods beginning after December 15, 2018, with early adoption permitted. The Company adopted this standard effective January 1, 2016, and applied the guidance using a retrospective transition method to each period presented.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00" w:name="page201"/>
    <w:bookmarkEnd w:id="200"/>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Balance Sheet Components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following is a summary of cash, cash equivalents, and investments as of December 31, 2016 and June 30, 2017. The Company did not have any cash equivalents or investments as of December 31, 2015.</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left="121"/>
              <w:spacing w:after="0"/>
              <w:rPr>
                <w:sz w:val="20"/>
                <w:szCs w:val="20"/>
                <w:color w:val="auto"/>
              </w:rPr>
            </w:pPr>
            <w:r>
              <w:rPr>
                <w:rFonts w:ascii="Arial" w:cs="Arial" w:eastAsia="Arial" w:hAnsi="Arial"/>
                <w:sz w:val="12"/>
                <w:szCs w:val="12"/>
                <w:color w:val="auto"/>
                <w:w w:val="93"/>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left="121"/>
              <w:spacing w:after="0"/>
              <w:rPr>
                <w:sz w:val="20"/>
                <w:szCs w:val="20"/>
                <w:color w:val="auto"/>
              </w:rPr>
            </w:pPr>
            <w:r>
              <w:rPr>
                <w:rFonts w:ascii="Arial" w:cs="Arial" w:eastAsia="Arial" w:hAnsi="Arial"/>
                <w:sz w:val="12"/>
                <w:szCs w:val="12"/>
                <w:color w:val="auto"/>
                <w:w w:val="99"/>
              </w:rPr>
              <w:t>Gross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6"/>
              </w:rPr>
              <w:t>Amortized</w:t>
            </w:r>
          </w:p>
        </w:tc>
        <w:tc>
          <w:tcPr>
            <w:tcW w:w="1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color w:val="auto"/>
                <w:w w:val="97"/>
              </w:rPr>
              <w:t>Unrealized</w:t>
            </w:r>
          </w:p>
        </w:tc>
        <w:tc>
          <w:tcPr>
            <w:tcW w:w="12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color w:val="auto"/>
                <w:w w:val="97"/>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Estimated</w:t>
            </w:r>
          </w:p>
        </w:tc>
      </w:tr>
      <w:tr>
        <w:trPr>
          <w:trHeight w:val="154"/>
        </w:trPr>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Cost</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Gains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Losses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color w:val="auto"/>
              </w:rPr>
              <w:t>Fair Value</w:t>
            </w:r>
          </w:p>
        </w:tc>
      </w:tr>
      <w:tr>
        <w:trPr>
          <w:trHeight w:val="134"/>
        </w:trPr>
        <w:tc>
          <w:tcPr>
            <w:tcW w:w="820" w:type="dxa"/>
            <w:vAlign w:val="bottom"/>
          </w:tcPr>
          <w:p>
            <w:pPr>
              <w:spacing w:after="0"/>
              <w:rPr>
                <w:sz w:val="11"/>
                <w:szCs w:val="11"/>
                <w:color w:val="auto"/>
              </w:rPr>
            </w:pPr>
          </w:p>
        </w:tc>
        <w:tc>
          <w:tcPr>
            <w:tcW w:w="4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December 31, 2016:</w:t>
            </w:r>
          </w:p>
        </w:tc>
        <w:tc>
          <w:tcPr>
            <w:tcW w:w="162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Cash and cash equivalents due in 90 days or less</w:t>
            </w:r>
          </w:p>
        </w:tc>
        <w:tc>
          <w:tcPr>
            <w:tcW w:w="170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29,476</w:t>
            </w:r>
          </w:p>
        </w:tc>
        <w:tc>
          <w:tcPr>
            <w:tcW w:w="580" w:type="dxa"/>
            <w:vAlign w:val="bottom"/>
            <w:gridSpan w:val="2"/>
          </w:tcPr>
          <w:p>
            <w:pPr>
              <w:jc w:val="right"/>
              <w:ind w:right="361"/>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ind w:left="40"/>
              <w:spacing w:after="0" w:line="135" w:lineRule="exact"/>
              <w:rPr>
                <w:sz w:val="20"/>
                <w:szCs w:val="20"/>
                <w:color w:val="auto"/>
              </w:rPr>
            </w:pPr>
            <w:r>
              <w:rPr>
                <w:rFonts w:ascii="Arial" w:cs="Arial" w:eastAsia="Arial" w:hAnsi="Arial"/>
                <w:sz w:val="12"/>
                <w:szCs w:val="12"/>
                <w:color w:val="auto"/>
                <w:w w:val="82"/>
              </w:rPr>
              <w:t>—</w:t>
            </w:r>
          </w:p>
        </w:tc>
        <w:tc>
          <w:tcPr>
            <w:tcW w:w="580" w:type="dxa"/>
            <w:vAlign w:val="bottom"/>
            <w:gridSpan w:val="2"/>
          </w:tcPr>
          <w:p>
            <w:pPr>
              <w:jc w:val="right"/>
              <w:ind w:right="341"/>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29,476</w:t>
            </w:r>
          </w:p>
        </w:tc>
        <w:tc>
          <w:tcPr>
            <w:tcW w:w="12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Investments:</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Certificates of deposit due in one year or less</w:t>
            </w: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44,774</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44,774</w:t>
            </w:r>
          </w:p>
        </w:tc>
        <w:tc>
          <w:tcPr>
            <w:tcW w:w="120" w:type="dxa"/>
            <w:vAlign w:val="bottom"/>
          </w:tcPr>
          <w:p>
            <w:pPr>
              <w:spacing w:after="0"/>
              <w:rPr>
                <w:sz w:val="11"/>
                <w:szCs w:val="11"/>
                <w:color w:val="auto"/>
              </w:rPr>
            </w:pPr>
          </w:p>
        </w:tc>
      </w:tr>
      <w:tr>
        <w:trPr>
          <w:trHeight w:val="131"/>
        </w:trPr>
        <w:tc>
          <w:tcPr>
            <w:tcW w:w="820" w:type="dxa"/>
            <w:vAlign w:val="bottom"/>
          </w:tcPr>
          <w:p>
            <w:pPr>
              <w:spacing w:after="0"/>
              <w:rPr>
                <w:sz w:val="11"/>
                <w:szCs w:val="11"/>
                <w:color w:val="auto"/>
              </w:rPr>
            </w:pPr>
          </w:p>
        </w:tc>
        <w:tc>
          <w:tcPr>
            <w:tcW w:w="42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cash, cash equivalents, and investments</w:t>
            </w:r>
          </w:p>
        </w:tc>
        <w:tc>
          <w:tcPr>
            <w:tcW w:w="170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74,250</w:t>
            </w:r>
          </w:p>
        </w:tc>
        <w:tc>
          <w:tcPr>
            <w:tcW w:w="580" w:type="dxa"/>
            <w:vAlign w:val="bottom"/>
            <w:gridSpan w:val="2"/>
            <w:shd w:val="clear" w:color="auto" w:fill="CCEEFF"/>
          </w:tcPr>
          <w:p>
            <w:pPr>
              <w:jc w:val="right"/>
              <w:ind w:right="361"/>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341"/>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74,250</w:t>
            </w:r>
          </w:p>
        </w:tc>
        <w:tc>
          <w:tcPr>
            <w:tcW w:w="120" w:type="dxa"/>
            <w:vAlign w:val="bottom"/>
            <w:shd w:val="clear" w:color="auto" w:fill="CCEEFF"/>
          </w:tcPr>
          <w:p>
            <w:pPr>
              <w:spacing w:after="0"/>
              <w:rPr>
                <w:sz w:val="11"/>
                <w:szCs w:val="11"/>
                <w:color w:val="auto"/>
              </w:rPr>
            </w:pPr>
          </w:p>
        </w:tc>
      </w:tr>
      <w:tr>
        <w:trPr>
          <w:trHeight w:val="561"/>
        </w:trPr>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gridSpan w:val="2"/>
          </w:tcPr>
          <w:p>
            <w:pPr>
              <w:jc w:val="center"/>
              <w:ind w:left="121"/>
              <w:spacing w:after="0"/>
              <w:rPr>
                <w:sz w:val="20"/>
                <w:szCs w:val="20"/>
                <w:color w:val="auto"/>
              </w:rPr>
            </w:pPr>
            <w:r>
              <w:rPr>
                <w:rFonts w:ascii="Arial" w:cs="Arial" w:eastAsia="Arial" w:hAnsi="Arial"/>
                <w:sz w:val="12"/>
                <w:szCs w:val="12"/>
                <w:color w:val="auto"/>
                <w:w w:val="93"/>
              </w:rPr>
              <w:t>Gross</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gridSpan w:val="2"/>
          </w:tcPr>
          <w:p>
            <w:pPr>
              <w:jc w:val="center"/>
              <w:ind w:left="121"/>
              <w:spacing w:after="0"/>
              <w:rPr>
                <w:sz w:val="20"/>
                <w:szCs w:val="20"/>
                <w:color w:val="auto"/>
              </w:rPr>
            </w:pPr>
            <w:r>
              <w:rPr>
                <w:rFonts w:ascii="Arial" w:cs="Arial" w:eastAsia="Arial" w:hAnsi="Arial"/>
                <w:sz w:val="12"/>
                <w:szCs w:val="12"/>
                <w:color w:val="auto"/>
                <w:w w:val="99"/>
              </w:rPr>
              <w:t>Gross</w:t>
            </w: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0"/>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6"/>
              </w:rPr>
              <w:t>Amortized</w:t>
            </w:r>
          </w:p>
        </w:tc>
        <w:tc>
          <w:tcPr>
            <w:tcW w:w="1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color w:val="auto"/>
                <w:w w:val="97"/>
              </w:rPr>
              <w:t>Unrealized</w:t>
            </w:r>
          </w:p>
        </w:tc>
        <w:tc>
          <w:tcPr>
            <w:tcW w:w="12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color w:val="auto"/>
                <w:w w:val="97"/>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Estimated</w:t>
            </w:r>
          </w:p>
        </w:tc>
      </w:tr>
      <w:tr>
        <w:trPr>
          <w:trHeight w:val="154"/>
        </w:trPr>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Cost</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Gains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Losses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color w:val="auto"/>
              </w:rPr>
              <w:t>Fair Value</w:t>
            </w:r>
          </w:p>
        </w:tc>
      </w:tr>
      <w:tr>
        <w:trPr>
          <w:trHeight w:val="134"/>
        </w:trPr>
        <w:tc>
          <w:tcPr>
            <w:tcW w:w="820" w:type="dxa"/>
            <w:vAlign w:val="bottom"/>
          </w:tcPr>
          <w:p>
            <w:pPr>
              <w:spacing w:after="0"/>
              <w:rPr>
                <w:sz w:val="11"/>
                <w:szCs w:val="11"/>
                <w:color w:val="auto"/>
              </w:rPr>
            </w:pPr>
          </w:p>
        </w:tc>
        <w:tc>
          <w:tcPr>
            <w:tcW w:w="4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June 30, 2017 (unaudited):</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Cash and cash equivalents due in 90 days or less</w:t>
            </w:r>
          </w:p>
        </w:tc>
        <w:tc>
          <w:tcPr>
            <w:tcW w:w="170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33,309</w:t>
            </w:r>
          </w:p>
        </w:tc>
        <w:tc>
          <w:tcPr>
            <w:tcW w:w="580" w:type="dxa"/>
            <w:vAlign w:val="bottom"/>
            <w:gridSpan w:val="2"/>
          </w:tcPr>
          <w:p>
            <w:pPr>
              <w:jc w:val="right"/>
              <w:ind w:right="361"/>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ind w:left="40"/>
              <w:spacing w:after="0" w:line="135" w:lineRule="exact"/>
              <w:rPr>
                <w:sz w:val="20"/>
                <w:szCs w:val="20"/>
                <w:color w:val="auto"/>
              </w:rPr>
            </w:pPr>
            <w:r>
              <w:rPr>
                <w:rFonts w:ascii="Arial" w:cs="Arial" w:eastAsia="Arial" w:hAnsi="Arial"/>
                <w:sz w:val="12"/>
                <w:szCs w:val="12"/>
                <w:color w:val="auto"/>
                <w:w w:val="82"/>
              </w:rPr>
              <w:t>—</w:t>
            </w:r>
          </w:p>
        </w:tc>
        <w:tc>
          <w:tcPr>
            <w:tcW w:w="580" w:type="dxa"/>
            <w:vAlign w:val="bottom"/>
            <w:gridSpan w:val="2"/>
          </w:tcPr>
          <w:p>
            <w:pPr>
              <w:jc w:val="right"/>
              <w:ind w:right="341"/>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33,309</w:t>
            </w:r>
          </w:p>
        </w:tc>
        <w:tc>
          <w:tcPr>
            <w:tcW w:w="12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Investments:</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tcPr>
          <w:p>
            <w:pPr>
              <w:ind w:left="120"/>
              <w:spacing w:after="0" w:line="135" w:lineRule="exact"/>
              <w:rPr>
                <w:sz w:val="20"/>
                <w:szCs w:val="20"/>
                <w:color w:val="auto"/>
              </w:rPr>
            </w:pPr>
            <w:r>
              <w:rPr>
                <w:rFonts w:ascii="Arial" w:cs="Arial" w:eastAsia="Arial" w:hAnsi="Arial"/>
                <w:sz w:val="12"/>
                <w:szCs w:val="12"/>
                <w:color w:val="auto"/>
              </w:rPr>
              <w:t>Certificates of deposit due in one year or less</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48,000</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48,000</w:t>
            </w:r>
          </w:p>
        </w:tc>
        <w:tc>
          <w:tcPr>
            <w:tcW w:w="120" w:type="dxa"/>
            <w:vAlign w:val="bottom"/>
          </w:tcPr>
          <w:p>
            <w:pPr>
              <w:spacing w:after="0"/>
              <w:rPr>
                <w:sz w:val="11"/>
                <w:szCs w:val="11"/>
                <w:color w:val="auto"/>
              </w:rPr>
            </w:pPr>
          </w:p>
        </w:tc>
      </w:tr>
      <w:tr>
        <w:trPr>
          <w:trHeight w:val="131"/>
        </w:trPr>
        <w:tc>
          <w:tcPr>
            <w:tcW w:w="820" w:type="dxa"/>
            <w:vAlign w:val="bottom"/>
          </w:tcPr>
          <w:p>
            <w:pPr>
              <w:spacing w:after="0"/>
              <w:rPr>
                <w:sz w:val="11"/>
                <w:szCs w:val="11"/>
                <w:color w:val="auto"/>
              </w:rPr>
            </w:pPr>
          </w:p>
        </w:tc>
        <w:tc>
          <w:tcPr>
            <w:tcW w:w="4240" w:type="dxa"/>
            <w:vAlign w:val="bottom"/>
            <w:shd w:val="clear" w:color="auto" w:fill="CCEEFF"/>
          </w:tcPr>
          <w:p>
            <w:pPr>
              <w:ind w:left="240"/>
              <w:spacing w:after="0" w:line="124" w:lineRule="exact"/>
              <w:rPr>
                <w:sz w:val="20"/>
                <w:szCs w:val="20"/>
                <w:color w:val="auto"/>
              </w:rPr>
            </w:pPr>
            <w:r>
              <w:rPr>
                <w:rFonts w:ascii="Arial" w:cs="Arial" w:eastAsia="Arial" w:hAnsi="Arial"/>
                <w:sz w:val="12"/>
                <w:szCs w:val="12"/>
                <w:color w:val="auto"/>
              </w:rPr>
              <w:t>Total cash, cash equivalents, and investments</w:t>
            </w:r>
          </w:p>
        </w:tc>
        <w:tc>
          <w:tcPr>
            <w:tcW w:w="17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81,309</w:t>
            </w:r>
          </w:p>
        </w:tc>
        <w:tc>
          <w:tcPr>
            <w:tcW w:w="580" w:type="dxa"/>
            <w:vAlign w:val="bottom"/>
            <w:gridSpan w:val="2"/>
            <w:shd w:val="clear" w:color="auto" w:fill="CCEEFF"/>
          </w:tcPr>
          <w:p>
            <w:pPr>
              <w:jc w:val="right"/>
              <w:ind w:right="361"/>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341"/>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81,309</w:t>
            </w:r>
          </w:p>
        </w:tc>
        <w:tc>
          <w:tcPr>
            <w:tcW w:w="120" w:type="dxa"/>
            <w:vAlign w:val="bottom"/>
            <w:shd w:val="clear" w:color="auto" w:fill="CCEEFF"/>
          </w:tcPr>
          <w:p>
            <w:pPr>
              <w:spacing w:after="0"/>
              <w:rPr>
                <w:sz w:val="11"/>
                <w:szCs w:val="11"/>
                <w:color w:val="auto"/>
              </w:rPr>
            </w:pPr>
          </w:p>
        </w:tc>
      </w:tr>
      <w:tr>
        <w:trPr>
          <w:trHeight w:val="286"/>
        </w:trPr>
        <w:tc>
          <w:tcPr>
            <w:tcW w:w="5060" w:type="dxa"/>
            <w:vAlign w:val="bottom"/>
            <w:gridSpan w:val="2"/>
          </w:tcPr>
          <w:p>
            <w:pPr>
              <w:spacing w:after="0"/>
              <w:rPr>
                <w:sz w:val="20"/>
                <w:szCs w:val="20"/>
                <w:color w:val="auto"/>
              </w:rPr>
            </w:pPr>
            <w:r>
              <w:rPr>
                <w:rFonts w:ascii="Arial" w:cs="Arial" w:eastAsia="Arial" w:hAnsi="Arial"/>
                <w:sz w:val="12"/>
                <w:szCs w:val="12"/>
                <w:color w:val="auto"/>
              </w:rPr>
              <w:t>Property and equipment consists of the following:</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99"/>
        </w:trPr>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jc w:val="right"/>
              <w:ind w:right="460"/>
              <w:spacing w:after="0"/>
              <w:rPr>
                <w:sz w:val="20"/>
                <w:szCs w:val="20"/>
                <w:color w:val="auto"/>
              </w:rPr>
            </w:pPr>
            <w:r>
              <w:rPr>
                <w:rFonts w:ascii="Arial" w:cs="Arial" w:eastAsia="Arial" w:hAnsi="Arial"/>
                <w:sz w:val="12"/>
                <w:szCs w:val="12"/>
                <w:color w:val="auto"/>
              </w:rPr>
              <w:t>At 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color w:val="auto"/>
              </w:rPr>
              <w:t>At June 30,</w:t>
            </w:r>
          </w:p>
        </w:tc>
      </w:tr>
      <w:tr>
        <w:trPr>
          <w:trHeight w:val="159"/>
        </w:trPr>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201"/>
              <w:spacing w:after="0"/>
              <w:rPr>
                <w:sz w:val="20"/>
                <w:szCs w:val="20"/>
                <w:color w:val="auto"/>
              </w:rPr>
            </w:pPr>
            <w:r>
              <w:rPr>
                <w:rFonts w:ascii="Arial" w:cs="Arial" w:eastAsia="Arial" w:hAnsi="Arial"/>
                <w:sz w:val="12"/>
                <w:szCs w:val="12"/>
                <w:color w:val="auto"/>
              </w:rPr>
              <w:t>2015</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22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r>
      <w:tr>
        <w:trPr>
          <w:trHeight w:val="143"/>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w w:val="98"/>
              </w:rPr>
              <w:t>(unaudited)</w:t>
            </w: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Computer equipment</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1,138</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41"/>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2,001</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61"/>
              <w:spacing w:after="0" w:line="135" w:lineRule="exact"/>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2,308</w:t>
            </w: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Software</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174</w:t>
            </w:r>
          </w:p>
        </w:tc>
        <w:tc>
          <w:tcPr>
            <w:tcW w:w="12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Website development costs</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1,308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2,680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3,627</w:t>
            </w: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Furniture and fixtures</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1,898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3,386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4,443</w:t>
            </w:r>
          </w:p>
        </w:tc>
        <w:tc>
          <w:tcPr>
            <w:tcW w:w="12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Leasehold improvements</w:t>
            </w: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4,452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8,202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10,654</w:t>
            </w:r>
          </w:p>
        </w:tc>
        <w:tc>
          <w:tcPr>
            <w:tcW w:w="12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Construction in Progress</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r>
      <w:tr>
        <w:trPr>
          <w:trHeight w:val="133"/>
        </w:trPr>
        <w:tc>
          <w:tcPr>
            <w:tcW w:w="820" w:type="dxa"/>
            <w:vAlign w:val="bottom"/>
          </w:tcPr>
          <w:p>
            <w:pPr>
              <w:spacing w:after="0"/>
              <w:rPr>
                <w:sz w:val="11"/>
                <w:szCs w:val="11"/>
                <w:color w:val="auto"/>
              </w:rPr>
            </w:pPr>
          </w:p>
        </w:tc>
        <w:tc>
          <w:tcPr>
            <w:tcW w:w="4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8,796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16,502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21,206</w:t>
            </w:r>
          </w:p>
        </w:tc>
        <w:tc>
          <w:tcPr>
            <w:tcW w:w="120" w:type="dxa"/>
            <w:vAlign w:val="bottom"/>
            <w:shd w:val="clear" w:color="auto" w:fill="CCEEFF"/>
          </w:tcPr>
          <w:p>
            <w:pPr>
              <w:spacing w:after="0"/>
              <w:rPr>
                <w:sz w:val="11"/>
                <w:szCs w:val="11"/>
                <w:color w:val="auto"/>
              </w:rPr>
            </w:pPr>
          </w:p>
        </w:tc>
      </w:tr>
      <w:tr>
        <w:trPr>
          <w:trHeight w:val="270"/>
        </w:trPr>
        <w:tc>
          <w:tcPr>
            <w:tcW w:w="5060" w:type="dxa"/>
            <w:vAlign w:val="bottom"/>
            <w:gridSpan w:val="2"/>
          </w:tcPr>
          <w:p>
            <w:pPr>
              <w:ind w:left="820"/>
              <w:spacing w:after="0"/>
              <w:rPr>
                <w:sz w:val="20"/>
                <w:szCs w:val="20"/>
                <w:color w:val="auto"/>
              </w:rPr>
            </w:pPr>
            <w:r>
              <w:rPr>
                <w:rFonts w:ascii="Arial" w:cs="Arial" w:eastAsia="Arial" w:hAnsi="Arial"/>
                <w:sz w:val="12"/>
                <w:szCs w:val="12"/>
                <w:color w:val="auto"/>
              </w:rPr>
              <w:t>Less accumulated depreciation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color w:val="auto"/>
              </w:rPr>
              <w:t>(1,649)</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(3,722)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(5,309)</w:t>
            </w:r>
          </w:p>
        </w:tc>
      </w:tr>
      <w:tr>
        <w:trPr>
          <w:trHeight w:val="20"/>
        </w:trPr>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820" w:type="dxa"/>
            <w:vAlign w:val="bottom"/>
          </w:tcPr>
          <w:p>
            <w:pPr>
              <w:spacing w:after="0"/>
              <w:rPr>
                <w:sz w:val="10"/>
                <w:szCs w:val="10"/>
                <w:color w:val="auto"/>
              </w:rPr>
            </w:pPr>
          </w:p>
        </w:tc>
        <w:tc>
          <w:tcPr>
            <w:tcW w:w="42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Property and equipment, net</w:t>
            </w:r>
          </w:p>
        </w:tc>
        <w:tc>
          <w:tcPr>
            <w:tcW w:w="1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7,147</w:t>
            </w:r>
          </w:p>
        </w:tc>
        <w:tc>
          <w:tcPr>
            <w:tcW w:w="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1"/>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12,780</w:t>
            </w: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61"/>
              <w:spacing w:after="0" w:line="124" w:lineRule="exact"/>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15,897</w:t>
            </w:r>
          </w:p>
        </w:tc>
        <w:tc>
          <w:tcPr>
            <w:tcW w:w="120" w:type="dxa"/>
            <w:vAlign w:val="bottom"/>
            <w:shd w:val="clear" w:color="auto" w:fill="CCEEFF"/>
          </w:tcPr>
          <w:p>
            <w:pPr>
              <w:spacing w:after="0"/>
              <w:rPr>
                <w:sz w:val="10"/>
                <w:szCs w:val="10"/>
                <w:color w:val="auto"/>
              </w:rPr>
            </w:pPr>
          </w:p>
        </w:tc>
      </w:tr>
      <w:tr>
        <w:trPr>
          <w:trHeight w:val="27"/>
        </w:trPr>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right="280" w:firstLine="326"/>
        <w:spacing w:after="0" w:line="239" w:lineRule="auto"/>
        <w:rPr>
          <w:sz w:val="20"/>
          <w:szCs w:val="20"/>
          <w:color w:val="auto"/>
        </w:rPr>
      </w:pPr>
      <w:r>
        <w:rPr>
          <w:rFonts w:ascii="Arial" w:cs="Arial" w:eastAsia="Arial" w:hAnsi="Arial"/>
          <w:sz w:val="12"/>
          <w:szCs w:val="12"/>
          <w:color w:val="auto"/>
        </w:rPr>
        <w:t>Depreciation and amortization expense, which includes amortization expense associated with capitalized internal-use software and website development costs, was $1,122 and $2,072 for the years ended December 31, 2015 and 2016, respectively, and was $836 and $1,587 for the six months ended June 30, 2016 and 2017, respectively.</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42" w:right="559" w:bottom="1440" w:gutter="0" w:footer="0" w:header="0"/>
        </w:sectPr>
      </w:pPr>
    </w:p>
    <w:bookmarkStart w:id="201" w:name="page202"/>
    <w:bookmarkEnd w:id="201"/>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ind w:left="328" w:right="8820" w:hanging="328"/>
        <w:spacing w:after="0" w:line="560" w:lineRule="auto"/>
        <w:tabs>
          <w:tab w:leader="none" w:pos="139" w:val="left"/>
        </w:tabs>
        <w:numPr>
          <w:ilvl w:val="0"/>
          <w:numId w:val="10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Balance Sheet Components (Continued) </w:t>
      </w:r>
      <w:r>
        <w:rPr>
          <w:rFonts w:ascii="Arial" w:cs="Arial" w:eastAsia="Arial" w:hAnsi="Arial"/>
          <w:sz w:val="11"/>
          <w:szCs w:val="11"/>
          <w:color w:val="auto"/>
        </w:rPr>
        <w:t>Accrued expenses consists of the following:</w:t>
      </w:r>
    </w:p>
    <w:tbl>
      <w:tblPr>
        <w:tblLayout w:type="fixed"/>
        <w:tblInd w:w="1148"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2"/>
                <w:szCs w:val="12"/>
                <w:color w:val="auto"/>
              </w:rPr>
              <w:t>At 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color w:val="auto"/>
              </w:rPr>
              <w:t>At June 30,</w:t>
            </w:r>
          </w:p>
        </w:tc>
      </w:tr>
      <w:tr>
        <w:trPr>
          <w:trHeight w:val="159"/>
        </w:trPr>
        <w:tc>
          <w:tcPr>
            <w:tcW w:w="6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2015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r>
      <w:tr>
        <w:trPr>
          <w:trHeight w:val="143"/>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color w:val="auto"/>
              </w:rPr>
              <w:t>(unaudited)</w:t>
            </w: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Accrued bonuses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2,455</w:t>
            </w:r>
          </w:p>
        </w:tc>
        <w:tc>
          <w:tcPr>
            <w:tcW w:w="3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4,662</w:t>
            </w:r>
          </w:p>
        </w:tc>
        <w:tc>
          <w:tcPr>
            <w:tcW w:w="3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2,699</w:t>
            </w:r>
          </w:p>
        </w:tc>
        <w:tc>
          <w:tcPr>
            <w:tcW w:w="120" w:type="dxa"/>
            <w:vAlign w:val="bottom"/>
            <w:shd w:val="clear" w:color="auto" w:fill="CCEEFF"/>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Accrued commissions</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901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1,305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1,257</w:t>
            </w:r>
          </w:p>
        </w:tc>
        <w:tc>
          <w:tcPr>
            <w:tcW w:w="1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accrued expenses</w:t>
            </w: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574</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2,417</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4,544</w:t>
            </w:r>
          </w:p>
        </w:tc>
        <w:tc>
          <w:tcPr>
            <w:tcW w:w="120" w:type="dxa"/>
            <w:vAlign w:val="bottom"/>
            <w:shd w:val="clear" w:color="auto" w:fill="CCEEFF"/>
          </w:tcPr>
          <w:p>
            <w:pPr>
              <w:spacing w:after="0"/>
              <w:rPr>
                <w:sz w:val="11"/>
                <w:szCs w:val="11"/>
                <w:color w:val="auto"/>
              </w:rPr>
            </w:pPr>
          </w:p>
        </w:tc>
      </w:tr>
      <w:tr>
        <w:trPr>
          <w:trHeight w:val="133"/>
        </w:trPr>
        <w:tc>
          <w:tcPr>
            <w:tcW w:w="63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3,930</w:t>
            </w:r>
          </w:p>
        </w:tc>
        <w:tc>
          <w:tcPr>
            <w:tcW w:w="34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8,384</w:t>
            </w:r>
          </w:p>
        </w:tc>
        <w:tc>
          <w:tcPr>
            <w:tcW w:w="3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8,500</w:t>
            </w:r>
          </w:p>
        </w:tc>
        <w:tc>
          <w:tcPr>
            <w:tcW w:w="120" w:type="dxa"/>
            <w:vAlign w:val="bottom"/>
          </w:tcPr>
          <w:p>
            <w:pPr>
              <w:spacing w:after="0"/>
              <w:rPr>
                <w:sz w:val="11"/>
                <w:szCs w:val="1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Commitments and Contingencies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 leases its facilities under non-cancelable operating leases with various expiration dates through January 2024. Future minimum rental commitments under the Company's operating leases at</w:t>
      </w:r>
    </w:p>
    <w:p>
      <w:pPr>
        <w:ind w:left="8"/>
        <w:spacing w:after="0"/>
        <w:rPr>
          <w:sz w:val="20"/>
          <w:szCs w:val="20"/>
          <w:color w:val="auto"/>
        </w:rPr>
      </w:pPr>
      <w:r>
        <w:rPr>
          <w:rFonts w:ascii="Arial" w:cs="Arial" w:eastAsia="Arial" w:hAnsi="Arial"/>
          <w:sz w:val="12"/>
          <w:szCs w:val="12"/>
          <w:color w:val="auto"/>
        </w:rPr>
        <w:t>December 31, 2016 are as follows:</w:t>
      </w:r>
    </w:p>
    <w:p>
      <w:pPr>
        <w:spacing w:after="0" w:line="138" w:lineRule="exact"/>
        <w:rPr>
          <w:sz w:val="20"/>
          <w:szCs w:val="20"/>
          <w:color w:val="auto"/>
        </w:rPr>
      </w:pPr>
    </w:p>
    <w:tbl>
      <w:tblPr>
        <w:tblLayout w:type="fixed"/>
        <w:tblInd w:w="1728" w:type="dxa"/>
        <w:tblCellMar>
          <w:top w:w="0" w:type="dxa"/>
          <w:left w:w="0" w:type="dxa"/>
          <w:bottom w:w="0" w:type="dxa"/>
          <w:right w:w="0" w:type="dxa"/>
        </w:tblCellMar>
      </w:tblPr>
      <w:tr>
        <w:trPr>
          <w:trHeight w:val="138"/>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Operating</w:t>
            </w:r>
          </w:p>
        </w:tc>
      </w:tr>
      <w:tr>
        <w:trPr>
          <w:trHeight w:val="140"/>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color w:val="auto"/>
                <w:w w:val="97"/>
              </w:rPr>
              <w:t>Lease</w:t>
            </w:r>
          </w:p>
        </w:tc>
      </w:tr>
      <w:tr>
        <w:trPr>
          <w:trHeight w:val="154"/>
        </w:trPr>
        <w:tc>
          <w:tcPr>
            <w:tcW w:w="6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Ending December 31,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color w:val="auto"/>
                <w:w w:val="99"/>
              </w:rPr>
              <w:t>Commitments</w:t>
            </w:r>
          </w:p>
        </w:tc>
        <w:tc>
          <w:tcPr>
            <w:tcW w:w="120" w:type="dxa"/>
            <w:vAlign w:val="bottom"/>
          </w:tcPr>
          <w:p>
            <w:pPr>
              <w:spacing w:after="0"/>
              <w:rPr>
                <w:sz w:val="13"/>
                <w:szCs w:val="13"/>
                <w:color w:val="auto"/>
              </w:rPr>
            </w:pPr>
          </w:p>
        </w:tc>
      </w:tr>
      <w:tr>
        <w:trPr>
          <w:trHeight w:val="134"/>
        </w:trPr>
        <w:tc>
          <w:tcPr>
            <w:tcW w:w="67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2017</w:t>
            </w:r>
          </w:p>
        </w:tc>
        <w:tc>
          <w:tcPr>
            <w:tcW w:w="2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6,437</w:t>
            </w:r>
          </w:p>
        </w:tc>
        <w:tc>
          <w:tcPr>
            <w:tcW w:w="120" w:type="dxa"/>
            <w:vAlign w:val="bottom"/>
            <w:shd w:val="clear" w:color="auto" w:fill="CCEEFF"/>
          </w:tcPr>
          <w:p>
            <w:pPr>
              <w:spacing w:after="0"/>
              <w:rPr>
                <w:sz w:val="11"/>
                <w:szCs w:val="1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2"/>
                <w:szCs w:val="12"/>
                <w:color w:val="auto"/>
              </w:rPr>
              <w:t>2018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6,666</w:t>
            </w:r>
          </w:p>
        </w:tc>
        <w:tc>
          <w:tcPr>
            <w:tcW w:w="120" w:type="dxa"/>
            <w:vAlign w:val="bottom"/>
          </w:tcPr>
          <w:p>
            <w:pPr>
              <w:spacing w:after="0"/>
              <w:rPr>
                <w:sz w:val="11"/>
                <w:szCs w:val="1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6,766</w:t>
            </w:r>
          </w:p>
        </w:tc>
        <w:tc>
          <w:tcPr>
            <w:tcW w:w="120" w:type="dxa"/>
            <w:vAlign w:val="bottom"/>
            <w:shd w:val="clear" w:color="auto" w:fill="CCEEFF"/>
          </w:tcPr>
          <w:p>
            <w:pPr>
              <w:spacing w:after="0"/>
              <w:rPr>
                <w:sz w:val="11"/>
                <w:szCs w:val="1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2"/>
                <w:szCs w:val="12"/>
                <w:color w:val="auto"/>
              </w:rPr>
              <w:t>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6,866</w:t>
            </w:r>
          </w:p>
        </w:tc>
        <w:tc>
          <w:tcPr>
            <w:tcW w:w="120" w:type="dxa"/>
            <w:vAlign w:val="bottom"/>
          </w:tcPr>
          <w:p>
            <w:pPr>
              <w:spacing w:after="0"/>
              <w:rPr>
                <w:sz w:val="11"/>
                <w:szCs w:val="11"/>
                <w:color w:val="auto"/>
              </w:rPr>
            </w:pPr>
          </w:p>
        </w:tc>
      </w:tr>
      <w:tr>
        <w:trPr>
          <w:trHeight w:val="135"/>
        </w:trPr>
        <w:tc>
          <w:tcPr>
            <w:tcW w:w="6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6,966</w:t>
            </w:r>
          </w:p>
        </w:tc>
        <w:tc>
          <w:tcPr>
            <w:tcW w:w="120" w:type="dxa"/>
            <w:vAlign w:val="bottom"/>
            <w:shd w:val="clear" w:color="auto" w:fill="CCEEFF"/>
          </w:tcPr>
          <w:p>
            <w:pPr>
              <w:spacing w:after="0"/>
              <w:rPr>
                <w:sz w:val="11"/>
                <w:szCs w:val="11"/>
                <w:color w:val="auto"/>
              </w:rPr>
            </w:pPr>
          </w:p>
        </w:tc>
      </w:tr>
      <w:tr>
        <w:trPr>
          <w:trHeight w:val="135"/>
        </w:trPr>
        <w:tc>
          <w:tcPr>
            <w:tcW w:w="6720" w:type="dxa"/>
            <w:vAlign w:val="bottom"/>
          </w:tcPr>
          <w:p>
            <w:pPr>
              <w:spacing w:after="0" w:line="135" w:lineRule="exact"/>
              <w:rPr>
                <w:sz w:val="20"/>
                <w:szCs w:val="20"/>
                <w:color w:val="auto"/>
              </w:rPr>
            </w:pPr>
            <w:r>
              <w:rPr>
                <w:rFonts w:ascii="Arial" w:cs="Arial" w:eastAsia="Arial" w:hAnsi="Arial"/>
                <w:sz w:val="12"/>
                <w:szCs w:val="12"/>
                <w:color w:val="auto"/>
              </w:rPr>
              <w:t>2022 and thereafter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8,439</w:t>
            </w:r>
          </w:p>
        </w:tc>
        <w:tc>
          <w:tcPr>
            <w:tcW w:w="120" w:type="dxa"/>
            <w:vAlign w:val="bottom"/>
          </w:tcPr>
          <w:p>
            <w:pPr>
              <w:spacing w:after="0"/>
              <w:rPr>
                <w:sz w:val="11"/>
                <w:szCs w:val="11"/>
                <w:color w:val="auto"/>
              </w:rPr>
            </w:pPr>
          </w:p>
        </w:tc>
      </w:tr>
      <w:tr>
        <w:trPr>
          <w:trHeight w:val="133"/>
        </w:trPr>
        <w:tc>
          <w:tcPr>
            <w:tcW w:w="67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42,140</w:t>
            </w:r>
          </w:p>
        </w:tc>
        <w:tc>
          <w:tcPr>
            <w:tcW w:w="120" w:type="dxa"/>
            <w:vAlign w:val="bottom"/>
            <w:shd w:val="clear" w:color="auto" w:fill="CCEEFF"/>
          </w:tcPr>
          <w:p>
            <w:pPr>
              <w:spacing w:after="0"/>
              <w:rPr>
                <w:sz w:val="11"/>
                <w:szCs w:val="1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left="8" w:firstLine="319"/>
        <w:spacing w:after="0" w:line="236" w:lineRule="auto"/>
        <w:rPr>
          <w:sz w:val="20"/>
          <w:szCs w:val="20"/>
          <w:color w:val="auto"/>
        </w:rPr>
      </w:pPr>
      <w:r>
        <w:rPr>
          <w:rFonts w:ascii="Arial" w:cs="Arial" w:eastAsia="Arial" w:hAnsi="Arial"/>
          <w:sz w:val="12"/>
          <w:szCs w:val="12"/>
          <w:color w:val="auto"/>
        </w:rPr>
        <w:t>At December 31, 2015, the Company had deferred rent and rent incentives of $4,654, of which $513 and $4,141, respectively, is classified as a short-term liability and a long-term liability in the accompanying consolidated balance sheets. As of December 31, 2016, the Company had deferred rent and rent incentives of $6,583, of which $910 and $5,673, respectively, is classified as a short-term liability and a long-term liability in the corresponding consolidated balance sheet. As of June 30, 2017, the Company had deferred rent and rent incentives of $7,251, of which $1,125 and $6,126, respectively, is classified as a short-term liability and a long-term liability in the corresponding consolidated balance sheet. Rent expense related to the operating leases for the years ended December 31, 2015 and 2016 was $2,700 and $3,678, respectively. Rent expense related to the operating leases for the six months ended June 30, 2016 and 2017, was $1,495 and $2,915, respectively.</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Litigation</w:t>
      </w:r>
    </w:p>
    <w:p>
      <w:pPr>
        <w:spacing w:after="0" w:line="155"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 from time to time, may be party to litigation arising in the ordinary course of business. The Company was not subject to any material legal proceedings during the years ended</w:t>
      </w:r>
    </w:p>
    <w:p>
      <w:pPr>
        <w:spacing w:after="0" w:line="141"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142" w:right="279" w:bottom="1440" w:gutter="0" w:footer="0" w:header="0"/>
        </w:sectPr>
      </w:pPr>
    </w:p>
    <w:bookmarkStart w:id="202" w:name="page203"/>
    <w:bookmarkEnd w:id="20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Commitments and Contingencies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2015 and 2016 and during the six months ended June 30, 2017, and, to the best of its knowledge, no material legal proceedings are currently pending or threatened.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 and Indemnification Obligations</w:t>
      </w:r>
    </w:p>
    <w:p>
      <w:pPr>
        <w:spacing w:after="0" w:line="155" w:lineRule="exact"/>
        <w:rPr>
          <w:sz w:val="20"/>
          <w:szCs w:val="20"/>
          <w:color w:val="auto"/>
        </w:rPr>
      </w:pPr>
    </w:p>
    <w:p>
      <w:pPr>
        <w:ind w:right="80" w:firstLine="326"/>
        <w:spacing w:after="0" w:line="237" w:lineRule="auto"/>
        <w:rPr>
          <w:sz w:val="20"/>
          <w:szCs w:val="20"/>
          <w:color w:val="auto"/>
        </w:rPr>
      </w:pPr>
      <w:r>
        <w:rPr>
          <w:rFonts w:ascii="Arial" w:cs="Arial" w:eastAsia="Arial" w:hAnsi="Arial"/>
          <w:sz w:val="12"/>
          <w:szCs w:val="12"/>
          <w:color w:val="auto"/>
        </w:rPr>
        <w:t>In the ordinary course of business, the Company enters into agreements with its customers that are consistent with industry practice with respect to licensing, infringement, indemnification, and other standard provisions. The Company does not, in the ordinary course, agree to indemnification obligations for the Company under its contracts with customers. Based on historical experience and information known at December 31, 2016 and June 30, 2017, the Company has not incurred any costs for guarantees or indemnities.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Convertible Preferred Stock and Stockholders' Equity</w:t>
      </w:r>
    </w:p>
    <w:p>
      <w:pPr>
        <w:spacing w:after="0" w:line="155" w:lineRule="exact"/>
        <w:rPr>
          <w:sz w:val="20"/>
          <w:szCs w:val="20"/>
          <w:color w:val="auto"/>
        </w:rPr>
      </w:pPr>
    </w:p>
    <w:p>
      <w:pPr>
        <w:ind w:right="140" w:firstLine="326"/>
        <w:spacing w:after="0" w:line="237" w:lineRule="auto"/>
        <w:rPr>
          <w:sz w:val="20"/>
          <w:szCs w:val="20"/>
          <w:color w:val="auto"/>
        </w:rPr>
      </w:pPr>
      <w:r>
        <w:rPr>
          <w:rFonts w:ascii="Arial" w:cs="Arial" w:eastAsia="Arial" w:hAnsi="Arial"/>
          <w:sz w:val="12"/>
          <w:szCs w:val="12"/>
          <w:color w:val="auto"/>
        </w:rPr>
        <w:t>On June 26, 2015, the Company converted from a Massachusetts limited liability company to a Delaware corporation and changed its legal name to CarGurus, Inc. At the date of the conversion, the Class A unitholders received an equal number of shares of Class B common stock, the Class B unitholders received an equal number of shares of Series A Preferred Stock, the Class C unitholders received an equal number of shares of Series B Preferred Stock, the Class D unitholders received an equal number of shares of Series C Preferred Stock. All outstanding Class A unit options received an equal number of options that are exercisable into Class A common stock and Class B common stock (see Note 6).</w:t>
      </w:r>
    </w:p>
    <w:p>
      <w:pPr>
        <w:spacing w:after="0" w:line="139" w:lineRule="exact"/>
        <w:rPr>
          <w:sz w:val="20"/>
          <w:szCs w:val="20"/>
          <w:color w:val="auto"/>
        </w:rPr>
      </w:pPr>
    </w:p>
    <w:p>
      <w:pPr>
        <w:ind w:right="60" w:firstLine="326"/>
        <w:spacing w:after="0" w:line="236" w:lineRule="auto"/>
        <w:rPr>
          <w:sz w:val="20"/>
          <w:szCs w:val="20"/>
          <w:color w:val="auto"/>
        </w:rPr>
      </w:pPr>
      <w:r>
        <w:rPr>
          <w:rFonts w:ascii="Arial" w:cs="Arial" w:eastAsia="Arial" w:hAnsi="Arial"/>
          <w:sz w:val="12"/>
          <w:szCs w:val="12"/>
          <w:color w:val="auto"/>
        </w:rPr>
        <w:t>On June 21, 2017, the Company amended and restated its Certificate of Incorporation pursuant to the Third Amended and Restated Certificate of Incorporation. Under the Third Amended and Restated Certificate of Incorporation, the total number of shares of all classes of stock which the Company shall have authority to issue is (i) 120,020,700 shares of Class A common stock, par value $0.001 per share, (ii) 80,013,800 shares of Class B common stock, par value $0.001 per share, and (iii) 11,091,782 shares of Preferred Stock, par value $0.001 per share, of which 3,333,000 shares are designated Series A Preferred Stock, 3,329,497 shares are designated Series B Preferred Stock, 1,648,978 shares are designated Series C Preferred Stock, 1,673,105 shares are designated Series D convertible preferred stock, or Series D Preferred Stock, and 1,107,202 shares are designated Series E convertible preferred stock, or Series E Preferred Stock. The Series A Preferred Stock, Series B Preferred Stock, Series C Preferred Stock, Series D Preferred Stock, and Series E Preferred Stock are referred to collectively as the Preferred Stock.</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Upon the effectiveness of the Third Amended and Restated Certificate of Incorporation, (i) each share of Class A common stock issued and outstanding was recapitalized, reclassified, and reconstituted into two fully paid and non-assessable shares of outstanding Class A common stock and four fully paid and non-assessable shares of outstanding Class B common stock, and (ii) each share of Class B common stock of the Corporation issued and outstanding was recapitalized, reclassified, and reconstituted into two (2) fully paid and non-assessable shares of outstanding Class A common stock and four (4) fully paid and non-assessable shares of outstanding Class B common stock.</w:t>
      </w:r>
    </w:p>
    <w:p>
      <w:pPr>
        <w:spacing w:after="0" w:line="139" w:lineRule="exact"/>
        <w:rPr>
          <w:sz w:val="20"/>
          <w:szCs w:val="20"/>
          <w:color w:val="auto"/>
        </w:rPr>
      </w:pPr>
    </w:p>
    <w:p>
      <w:pPr>
        <w:ind w:right="60" w:firstLine="326"/>
        <w:spacing w:after="0" w:line="239" w:lineRule="auto"/>
        <w:rPr>
          <w:sz w:val="20"/>
          <w:szCs w:val="20"/>
          <w:color w:val="auto"/>
        </w:rPr>
      </w:pPr>
      <w:r>
        <w:rPr>
          <w:rFonts w:ascii="Arial" w:cs="Arial" w:eastAsia="Arial" w:hAnsi="Arial"/>
          <w:sz w:val="12"/>
          <w:szCs w:val="12"/>
          <w:color w:val="auto"/>
        </w:rPr>
        <w:t>Further, upon the effectiveness of the Third Amended and Restated Certificate of Incorporation, the number of shares of common stock as to which each outstanding option to purchase common stock is exercisable for and each outstanding RSU is convertible into was adjusted such that upon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203" w:name="page204"/>
    <w:bookmarkEnd w:id="20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Convertible Preferred Stock and Stockholders' Equity (Continued)</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exercise of outstanding stock options or vesting of outstanding RSUs, each holder will receive two fully paid and non-assessable shares of Class A common stock and four fully paid and non-assessable shares of Class B common stock in respect of each share of common stock previously underlying such option or RSU. The exercise price per share of common stock underlying each outstanding option was adjusted upon the effectiveness of the Third Amended and Restated Certificate of Incorporation to be one-sixth of the exercise price per share in effect immediately prior to such adjustment and the fair market value per share of common stock issuable upon settlement of such RSU was adjusted to be one-sixth of the fair market value per share in effect immediately prior to the recapitalization.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All share and per share data shown in the accompanying consolidated financial statements and related notes have been retroactively revised to reflect the share recapitalization.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w:t>
      </w:r>
    </w:p>
    <w:p>
      <w:pPr>
        <w:spacing w:after="0" w:line="155" w:lineRule="exact"/>
        <w:rPr>
          <w:sz w:val="20"/>
          <w:szCs w:val="20"/>
          <w:color w:val="auto"/>
        </w:rPr>
      </w:pPr>
    </w:p>
    <w:p>
      <w:pPr>
        <w:ind w:right="140" w:firstLine="326"/>
        <w:spacing w:after="0" w:line="237" w:lineRule="auto"/>
        <w:rPr>
          <w:sz w:val="20"/>
          <w:szCs w:val="20"/>
          <w:color w:val="auto"/>
        </w:rPr>
      </w:pPr>
      <w:r>
        <w:rPr>
          <w:rFonts w:ascii="Arial" w:cs="Arial" w:eastAsia="Arial" w:hAnsi="Arial"/>
          <w:sz w:val="12"/>
          <w:szCs w:val="12"/>
          <w:color w:val="auto"/>
        </w:rPr>
        <w:t>Each share of Class A common stock entitles the holder to one vote for each share on all matters submitted to a vote of the Company's stockholders at all meetings of stockholders and written actions in lieu of meetings. Each share of Class B common stock entitles the holder to ten votes for each share on all matters submitted to a vote of the Company's stockholders at all meetings of stockholders and written actions in lieu of meetings.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Holders of common stock are entitled to receive dividends, when and if declared by the Board.</w:t>
      </w:r>
    </w:p>
    <w:p>
      <w:pPr>
        <w:spacing w:after="0" w:line="141" w:lineRule="exact"/>
        <w:rPr>
          <w:sz w:val="20"/>
          <w:szCs w:val="20"/>
          <w:color w:val="auto"/>
        </w:rPr>
      </w:pPr>
    </w:p>
    <w:p>
      <w:pPr>
        <w:ind w:firstLine="326"/>
        <w:spacing w:after="0" w:line="237" w:lineRule="auto"/>
        <w:rPr>
          <w:sz w:val="20"/>
          <w:szCs w:val="20"/>
          <w:color w:val="auto"/>
        </w:rPr>
      </w:pPr>
      <w:r>
        <w:rPr>
          <w:rFonts w:ascii="Arial" w:cs="Arial" w:eastAsia="Arial" w:hAnsi="Arial"/>
          <w:sz w:val="12"/>
          <w:szCs w:val="12"/>
          <w:color w:val="auto"/>
        </w:rPr>
        <w:t>Each share of Class B common stock is convertible into one share of Class A common stock at the option of the holder at any time. Automatic conversion shall occur upon the occurrence of a Transfer, as defined in the Third Amended and Restated Certificate of Incorporation, of such share of Class B common stock. Upon either the death or voluntary termination of the Company's Chief Executive Officer, all shares of Class B common stock shall automatically be converted into one share of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w:t>
      </w:r>
    </w:p>
    <w:p>
      <w:pPr>
        <w:spacing w:after="0" w:line="155" w:lineRule="exact"/>
        <w:rPr>
          <w:sz w:val="20"/>
          <w:szCs w:val="20"/>
          <w:color w:val="auto"/>
        </w:rPr>
      </w:pPr>
    </w:p>
    <w:p>
      <w:pPr>
        <w:ind w:right="20" w:firstLine="326"/>
        <w:spacing w:after="0" w:line="236" w:lineRule="auto"/>
        <w:rPr>
          <w:sz w:val="20"/>
          <w:szCs w:val="20"/>
          <w:color w:val="auto"/>
        </w:rPr>
      </w:pPr>
      <w:r>
        <w:rPr>
          <w:rFonts w:ascii="Arial" w:cs="Arial" w:eastAsia="Arial" w:hAnsi="Arial"/>
          <w:sz w:val="12"/>
          <w:szCs w:val="12"/>
          <w:color w:val="auto"/>
        </w:rPr>
        <w:t>On July 7, 2015, the Company completed a Series D Preferred Stock financing in the amount of $67,872, net of issuance costs of approximately $128. In connection with this issuance, the Company used a portion of the proceeds received, approximately $18,000, to repurchase and retire certain outstanding shares of Series A, Series B, and Series C Preferred Stock and common stock, as well as certain vested stock options from existing stockholders. The difference between the amount implicitly paid to repurchase the various classes of Preferred Stock and the corresponding carrying value of the underlying shares ($15,930) was treated as a deemed dividend and was recorded against retained earnings. As the shares of common stock were repurchased for constructive retirement, the excess purchase price over the corresponding par value was charged directly to retained earnings.</w:t>
      </w:r>
    </w:p>
    <w:p>
      <w:pPr>
        <w:spacing w:after="0" w:line="141" w:lineRule="exact"/>
        <w:rPr>
          <w:sz w:val="20"/>
          <w:szCs w:val="20"/>
          <w:color w:val="auto"/>
        </w:rPr>
      </w:pPr>
    </w:p>
    <w:p>
      <w:pPr>
        <w:ind w:right="220" w:firstLine="326"/>
        <w:spacing w:after="0" w:line="239" w:lineRule="auto"/>
        <w:rPr>
          <w:sz w:val="20"/>
          <w:szCs w:val="20"/>
          <w:color w:val="auto"/>
        </w:rPr>
      </w:pPr>
      <w:r>
        <w:rPr>
          <w:rFonts w:ascii="Arial" w:cs="Arial" w:eastAsia="Arial" w:hAnsi="Arial"/>
          <w:sz w:val="12"/>
          <w:szCs w:val="12"/>
          <w:color w:val="auto"/>
        </w:rPr>
        <w:t>On August 23, 2016, the Company completed a Series E Preferred Stock financing in the amount of $59,732, net of issuance costs of approximately $268. In connection with this issuance, the Company used the proceeds received to repurchase and retire certain outstanding shares of Series A, Series B, and Series C Preferred Stock and common stock, as well as certain vested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04" w:name="page205"/>
    <w:bookmarkEnd w:id="20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Convertible Preferred Stock and Stockholders' Equity (Continued)</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stock options and restricted stock units from existing stockholders. The difference between the amount implicitly paid to repurchase the various classes of Preferred Stock and the corresponding carrying value of the underlying shares ($32,087) was treated as a deemed dividend and was recorded against retained earnings. As the shares of common stock were repurchased for constructive retirement, the excess purchase price over the corresponding par value was charged directly to retained earnings.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5060" w:type="dxa"/>
            <w:vAlign w:val="bottom"/>
            <w:gridSpan w:val="2"/>
          </w:tcPr>
          <w:p>
            <w:pPr>
              <w:spacing w:after="0"/>
              <w:rPr>
                <w:sz w:val="20"/>
                <w:szCs w:val="20"/>
                <w:color w:val="auto"/>
              </w:rPr>
            </w:pPr>
            <w:r>
              <w:rPr>
                <w:rFonts w:ascii="Arial" w:cs="Arial" w:eastAsia="Arial" w:hAnsi="Arial"/>
                <w:sz w:val="12"/>
                <w:szCs w:val="12"/>
                <w:color w:val="auto"/>
              </w:rPr>
              <w:t>The Company's Preferred Stock at December 31, 2015 was as follows: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74"/>
        </w:trPr>
        <w:tc>
          <w:tcPr>
            <w:tcW w:w="8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Original Issue</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0"/>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Price</w:t>
            </w:r>
          </w:p>
        </w:tc>
        <w:tc>
          <w:tcPr>
            <w:tcW w:w="10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Liquidation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color w:val="auto"/>
              </w:rPr>
              <w:t>Carrying</w:t>
            </w:r>
          </w:p>
        </w:tc>
      </w:tr>
      <w:tr>
        <w:trPr>
          <w:trHeight w:val="154"/>
        </w:trPr>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color w:val="auto"/>
                <w:w w:val="96"/>
              </w:rPr>
              <w:t>Per Share</w:t>
            </w: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97"/>
              </w:rPr>
              <w:t>Authorized</w:t>
            </w:r>
          </w:p>
        </w:tc>
        <w:tc>
          <w:tcPr>
            <w:tcW w:w="10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5"/>
              </w:rPr>
              <w:t>Outstanding</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Value</w:t>
            </w:r>
          </w:p>
        </w:tc>
        <w:tc>
          <w:tcPr>
            <w:tcW w:w="100" w:type="dxa"/>
            <w:vAlign w:val="bottom"/>
          </w:tcPr>
          <w:p>
            <w:pPr>
              <w:spacing w:after="0"/>
              <w:rPr>
                <w:sz w:val="13"/>
                <w:szCs w:val="13"/>
                <w:color w:val="auto"/>
              </w:rPr>
            </w:pPr>
          </w:p>
        </w:tc>
      </w:tr>
      <w:tr>
        <w:trPr>
          <w:trHeight w:val="134"/>
        </w:trPr>
        <w:tc>
          <w:tcPr>
            <w:tcW w:w="820" w:type="dxa"/>
            <w:vAlign w:val="bottom"/>
          </w:tcPr>
          <w:p>
            <w:pPr>
              <w:spacing w:after="0"/>
              <w:rPr>
                <w:sz w:val="11"/>
                <w:szCs w:val="11"/>
                <w:color w:val="auto"/>
              </w:rPr>
            </w:pPr>
          </w:p>
        </w:tc>
        <w:tc>
          <w:tcPr>
            <w:tcW w:w="4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Series A Preferred Stock</w:t>
            </w:r>
          </w:p>
        </w:tc>
        <w:tc>
          <w:tcPr>
            <w:tcW w:w="5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0.525053</w:t>
            </w:r>
          </w:p>
        </w:tc>
        <w:tc>
          <w:tcPr>
            <w:tcW w:w="760" w:type="dxa"/>
            <w:vAlign w:val="bottom"/>
            <w:gridSpan w:val="3"/>
            <w:shd w:val="clear" w:color="auto" w:fill="CCEEFF"/>
          </w:tcPr>
          <w:p>
            <w:pPr>
              <w:ind w:left="240"/>
              <w:spacing w:after="0" w:line="134" w:lineRule="exact"/>
              <w:rPr>
                <w:sz w:val="20"/>
                <w:szCs w:val="20"/>
                <w:color w:val="auto"/>
              </w:rPr>
            </w:pPr>
            <w:r>
              <w:rPr>
                <w:rFonts w:ascii="Arial" w:cs="Arial" w:eastAsia="Arial" w:hAnsi="Arial"/>
                <w:sz w:val="12"/>
                <w:szCs w:val="12"/>
                <w:color w:val="auto"/>
                <w:w w:val="93"/>
              </w:rPr>
              <w:t>3,333,000</w:t>
            </w:r>
          </w:p>
        </w:tc>
        <w:tc>
          <w:tcPr>
            <w:tcW w:w="8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3,049,606</w:t>
            </w:r>
          </w:p>
        </w:tc>
        <w:tc>
          <w:tcPr>
            <w:tcW w:w="2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1,601</w:t>
            </w:r>
          </w:p>
        </w:tc>
        <w:tc>
          <w:tcPr>
            <w:tcW w:w="2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1,601</w:t>
            </w:r>
          </w:p>
        </w:tc>
        <w:tc>
          <w:tcPr>
            <w:tcW w:w="10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Series B Preferred Stock</w:t>
            </w:r>
          </w:p>
        </w:tc>
        <w:tc>
          <w:tcPr>
            <w:tcW w:w="50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0.780899</w:t>
            </w:r>
          </w:p>
        </w:tc>
        <w:tc>
          <w:tcPr>
            <w:tcW w:w="760" w:type="dxa"/>
            <w:vAlign w:val="bottom"/>
            <w:gridSpan w:val="3"/>
          </w:tcPr>
          <w:p>
            <w:pPr>
              <w:ind w:left="240"/>
              <w:spacing w:after="0" w:line="135" w:lineRule="exact"/>
              <w:rPr>
                <w:sz w:val="20"/>
                <w:szCs w:val="20"/>
                <w:color w:val="auto"/>
              </w:rPr>
            </w:pPr>
            <w:r>
              <w:rPr>
                <w:rFonts w:ascii="Arial" w:cs="Arial" w:eastAsia="Arial" w:hAnsi="Arial"/>
                <w:sz w:val="12"/>
                <w:szCs w:val="12"/>
                <w:color w:val="auto"/>
                <w:w w:val="93"/>
              </w:rPr>
              <w:t>3,329,497</w:t>
            </w:r>
          </w:p>
        </w:tc>
        <w:tc>
          <w:tcPr>
            <w:tcW w:w="82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3,296,054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2,574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2,574</w:t>
            </w:r>
          </w:p>
        </w:tc>
        <w:tc>
          <w:tcPr>
            <w:tcW w:w="10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Series C Preferred Stock</w:t>
            </w:r>
          </w:p>
        </w:tc>
        <w:tc>
          <w:tcPr>
            <w:tcW w:w="5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0.849012</w:t>
            </w:r>
          </w:p>
        </w:tc>
        <w:tc>
          <w:tcPr>
            <w:tcW w:w="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w w:val="93"/>
              </w:rPr>
              <w:t>1,648,978</w:t>
            </w:r>
          </w:p>
        </w:tc>
        <w:tc>
          <w:tcPr>
            <w:tcW w:w="8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1,567,855</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1,331</w:t>
            </w: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1,331</w:t>
            </w:r>
          </w:p>
        </w:tc>
        <w:tc>
          <w:tcPr>
            <w:tcW w:w="10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Series D Preferred Stock</w:t>
            </w:r>
          </w:p>
        </w:tc>
        <w:tc>
          <w:tcPr>
            <w:tcW w:w="50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40.642989</w:t>
            </w:r>
          </w:p>
        </w:tc>
        <w:tc>
          <w:tcPr>
            <w:tcW w:w="100" w:type="dxa"/>
            <w:vAlign w:val="bottom"/>
          </w:tcPr>
          <w:p>
            <w:pPr>
              <w:spacing w:after="0"/>
              <w:rPr>
                <w:sz w:val="11"/>
                <w:szCs w:val="11"/>
                <w:color w:val="auto"/>
              </w:rPr>
            </w:pPr>
          </w:p>
        </w:tc>
        <w:tc>
          <w:tcPr>
            <w:tcW w:w="66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2"/>
                <w:szCs w:val="12"/>
                <w:color w:val="auto"/>
                <w:w w:val="93"/>
              </w:rPr>
              <w:t>1,673,105</w:t>
            </w:r>
          </w:p>
        </w:tc>
        <w:tc>
          <w:tcPr>
            <w:tcW w:w="100" w:type="dxa"/>
            <w:vAlign w:val="bottom"/>
          </w:tcPr>
          <w:p>
            <w:pPr>
              <w:spacing w:after="0"/>
              <w:rPr>
                <w:sz w:val="11"/>
                <w:szCs w:val="11"/>
                <w:color w:val="auto"/>
              </w:rPr>
            </w:pPr>
          </w:p>
        </w:tc>
        <w:tc>
          <w:tcPr>
            <w:tcW w:w="7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1,673,105</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2"/>
                <w:szCs w:val="12"/>
                <w:color w:val="auto"/>
              </w:rPr>
              <w:t>68,000</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67,872</w:t>
            </w:r>
          </w:p>
        </w:tc>
        <w:tc>
          <w:tcPr>
            <w:tcW w:w="100" w:type="dxa"/>
            <w:vAlign w:val="bottom"/>
          </w:tcPr>
          <w:p>
            <w:pPr>
              <w:spacing w:after="0"/>
              <w:rPr>
                <w:sz w:val="11"/>
                <w:szCs w:val="11"/>
                <w:color w:val="auto"/>
              </w:rPr>
            </w:pPr>
          </w:p>
        </w:tc>
      </w:tr>
      <w:tr>
        <w:trPr>
          <w:trHeight w:val="140"/>
        </w:trPr>
        <w:tc>
          <w:tcPr>
            <w:tcW w:w="820" w:type="dxa"/>
            <w:vAlign w:val="bottom"/>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40"/>
              <w:spacing w:after="0" w:line="133" w:lineRule="exact"/>
              <w:rPr>
                <w:sz w:val="20"/>
                <w:szCs w:val="20"/>
                <w:color w:val="auto"/>
              </w:rPr>
            </w:pPr>
            <w:r>
              <w:rPr>
                <w:rFonts w:ascii="Arial" w:cs="Arial" w:eastAsia="Arial" w:hAnsi="Arial"/>
                <w:sz w:val="12"/>
                <w:szCs w:val="12"/>
                <w:color w:val="auto"/>
                <w:w w:val="93"/>
              </w:rPr>
              <w:t>9,984,580</w:t>
            </w:r>
          </w:p>
        </w:tc>
        <w:tc>
          <w:tcPr>
            <w:tcW w:w="8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9,586,620</w:t>
            </w:r>
          </w:p>
        </w:tc>
        <w:tc>
          <w:tcPr>
            <w:tcW w:w="2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73,506</w:t>
            </w:r>
          </w:p>
        </w:tc>
        <w:tc>
          <w:tcPr>
            <w:tcW w:w="2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73,378</w:t>
            </w:r>
          </w:p>
        </w:tc>
        <w:tc>
          <w:tcPr>
            <w:tcW w:w="100" w:type="dxa"/>
            <w:vAlign w:val="bottom"/>
            <w:shd w:val="clear" w:color="auto" w:fill="CCEEFF"/>
          </w:tcPr>
          <w:p>
            <w:pPr>
              <w:spacing w:after="0"/>
              <w:rPr>
                <w:sz w:val="12"/>
                <w:szCs w:val="12"/>
                <w:color w:val="auto"/>
              </w:rPr>
            </w:pPr>
          </w:p>
        </w:tc>
      </w:tr>
      <w:tr>
        <w:trPr>
          <w:trHeight w:val="286"/>
        </w:trPr>
        <w:tc>
          <w:tcPr>
            <w:tcW w:w="5060" w:type="dxa"/>
            <w:vAlign w:val="bottom"/>
            <w:gridSpan w:val="2"/>
          </w:tcPr>
          <w:p>
            <w:pPr>
              <w:spacing w:after="0"/>
              <w:rPr>
                <w:sz w:val="20"/>
                <w:szCs w:val="20"/>
                <w:color w:val="auto"/>
              </w:rPr>
            </w:pPr>
            <w:r>
              <w:rPr>
                <w:rFonts w:ascii="Arial" w:cs="Arial" w:eastAsia="Arial" w:hAnsi="Arial"/>
                <w:sz w:val="12"/>
                <w:szCs w:val="12"/>
                <w:color w:val="auto"/>
              </w:rPr>
              <w:t>The Company's Preferred Stock at December 31, 2016 and June 30, 2017 was as follows: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4"/>
        </w:trPr>
        <w:tc>
          <w:tcPr>
            <w:tcW w:w="8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color w:val="auto"/>
                <w:w w:val="98"/>
              </w:rPr>
              <w:t>Original Issue</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0"/>
        </w:trPr>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color w:val="auto"/>
                <w:w w:val="94"/>
              </w:rPr>
              <w:t>Price</w:t>
            </w:r>
          </w:p>
        </w:tc>
        <w:tc>
          <w:tcPr>
            <w:tcW w:w="10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2"/>
                <w:szCs w:val="12"/>
                <w:color w:val="auto"/>
                <w:w w:val="94"/>
              </w:rPr>
              <w:t>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Liquidation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color w:val="auto"/>
              </w:rPr>
              <w:t>Carrying</w:t>
            </w:r>
          </w:p>
        </w:tc>
      </w:tr>
      <w:tr>
        <w:trPr>
          <w:trHeight w:val="154"/>
        </w:trPr>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Per Share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90"/>
              </w:rPr>
              <w:t>Authorized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w w:val="92"/>
              </w:rPr>
              <w:t>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Value</w:t>
            </w:r>
          </w:p>
        </w:tc>
        <w:tc>
          <w:tcPr>
            <w:tcW w:w="100" w:type="dxa"/>
            <w:vAlign w:val="bottom"/>
          </w:tcPr>
          <w:p>
            <w:pPr>
              <w:spacing w:after="0"/>
              <w:rPr>
                <w:sz w:val="13"/>
                <w:szCs w:val="13"/>
                <w:color w:val="auto"/>
              </w:rPr>
            </w:pPr>
          </w:p>
        </w:tc>
      </w:tr>
      <w:tr>
        <w:trPr>
          <w:trHeight w:val="134"/>
        </w:trPr>
        <w:tc>
          <w:tcPr>
            <w:tcW w:w="820" w:type="dxa"/>
            <w:vAlign w:val="bottom"/>
          </w:tcPr>
          <w:p>
            <w:pPr>
              <w:spacing w:after="0"/>
              <w:rPr>
                <w:sz w:val="11"/>
                <w:szCs w:val="11"/>
                <w:color w:val="auto"/>
              </w:rPr>
            </w:pPr>
          </w:p>
        </w:tc>
        <w:tc>
          <w:tcPr>
            <w:tcW w:w="4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Series A Preferred Stock</w:t>
            </w:r>
          </w:p>
        </w:tc>
        <w:tc>
          <w:tcPr>
            <w:tcW w:w="50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0.525053</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3,333,000</w:t>
            </w: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2,824,703</w:t>
            </w:r>
          </w:p>
        </w:tc>
        <w:tc>
          <w:tcPr>
            <w:tcW w:w="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1,483</w:t>
            </w:r>
          </w:p>
        </w:tc>
        <w:tc>
          <w:tcPr>
            <w:tcW w:w="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1,483</w:t>
            </w:r>
          </w:p>
        </w:tc>
        <w:tc>
          <w:tcPr>
            <w:tcW w:w="10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Series B Preferred Stock</w:t>
            </w:r>
          </w:p>
        </w:tc>
        <w:tc>
          <w:tcPr>
            <w:tcW w:w="50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35" w:lineRule="exact"/>
              <w:rPr>
                <w:sz w:val="20"/>
                <w:szCs w:val="20"/>
                <w:color w:val="auto"/>
              </w:rPr>
            </w:pPr>
            <w:r>
              <w:rPr>
                <w:rFonts w:ascii="Arial" w:cs="Arial" w:eastAsia="Arial" w:hAnsi="Arial"/>
                <w:sz w:val="12"/>
                <w:szCs w:val="12"/>
                <w:color w:val="auto"/>
              </w:rPr>
              <w:t>0.780899</w:t>
            </w:r>
          </w:p>
        </w:tc>
        <w:tc>
          <w:tcPr>
            <w:tcW w:w="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3,329,497</w:t>
            </w:r>
          </w:p>
        </w:tc>
        <w:tc>
          <w:tcPr>
            <w:tcW w:w="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2,938,486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2,295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2,295</w:t>
            </w:r>
          </w:p>
        </w:tc>
        <w:tc>
          <w:tcPr>
            <w:tcW w:w="10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Series C Preferred Stock</w:t>
            </w:r>
          </w:p>
        </w:tc>
        <w:tc>
          <w:tcPr>
            <w:tcW w:w="5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0.849012</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1,648,978</w:t>
            </w:r>
          </w:p>
        </w:tc>
        <w:tc>
          <w:tcPr>
            <w:tcW w:w="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1,550,612</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1,316</w:t>
            </w: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1,316</w:t>
            </w:r>
          </w:p>
        </w:tc>
        <w:tc>
          <w:tcPr>
            <w:tcW w:w="100" w:type="dxa"/>
            <w:vAlign w:val="bottom"/>
            <w:shd w:val="clear" w:color="auto" w:fill="CCEEFF"/>
          </w:tcPr>
          <w:p>
            <w:pPr>
              <w:spacing w:after="0"/>
              <w:rPr>
                <w:sz w:val="11"/>
                <w:szCs w:val="11"/>
                <w:color w:val="auto"/>
              </w:rPr>
            </w:pPr>
          </w:p>
        </w:tc>
      </w:tr>
      <w:tr>
        <w:trPr>
          <w:trHeight w:val="135"/>
        </w:trPr>
        <w:tc>
          <w:tcPr>
            <w:tcW w:w="506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Series D Preferred Stock</w:t>
            </w:r>
          </w:p>
        </w:tc>
        <w:tc>
          <w:tcPr>
            <w:tcW w:w="50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35" w:lineRule="exact"/>
              <w:rPr>
                <w:sz w:val="20"/>
                <w:szCs w:val="20"/>
                <w:color w:val="auto"/>
              </w:rPr>
            </w:pPr>
            <w:r>
              <w:rPr>
                <w:rFonts w:ascii="Arial" w:cs="Arial" w:eastAsia="Arial" w:hAnsi="Arial"/>
                <w:sz w:val="12"/>
                <w:szCs w:val="12"/>
                <w:color w:val="auto"/>
              </w:rPr>
              <w:t>40.642989</w:t>
            </w:r>
          </w:p>
        </w:tc>
        <w:tc>
          <w:tcPr>
            <w:tcW w:w="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1,673,105</w:t>
            </w:r>
          </w:p>
        </w:tc>
        <w:tc>
          <w:tcPr>
            <w:tcW w:w="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1,673,105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68,000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67,872</w:t>
            </w:r>
          </w:p>
        </w:tc>
        <w:tc>
          <w:tcPr>
            <w:tcW w:w="10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Series E Preferred Stock</w:t>
            </w:r>
          </w:p>
        </w:tc>
        <w:tc>
          <w:tcPr>
            <w:tcW w:w="5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54.190650</w:t>
            </w: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1,107,202</w:t>
            </w: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1,107,202</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60,000</w:t>
            </w: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59,732</w:t>
            </w:r>
          </w:p>
        </w:tc>
        <w:tc>
          <w:tcPr>
            <w:tcW w:w="100" w:type="dxa"/>
            <w:vAlign w:val="bottom"/>
            <w:shd w:val="clear" w:color="auto" w:fill="CCEEFF"/>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11,091,782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10,094,108</w:t>
            </w:r>
          </w:p>
        </w:tc>
        <w:tc>
          <w:tcPr>
            <w:tcW w:w="20" w:type="dxa"/>
            <w:vAlign w:val="bottom"/>
          </w:tcPr>
          <w:p>
            <w:pPr>
              <w:spacing w:after="0"/>
              <w:rPr>
                <w:sz w:val="11"/>
                <w:szCs w:val="11"/>
                <w:color w:val="auto"/>
              </w:rPr>
            </w:pPr>
          </w:p>
        </w:tc>
        <w:tc>
          <w:tcPr>
            <w:tcW w:w="2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133,094</w:t>
            </w:r>
          </w:p>
        </w:tc>
        <w:tc>
          <w:tcPr>
            <w:tcW w:w="20" w:type="dxa"/>
            <w:vAlign w:val="bottom"/>
          </w:tcPr>
          <w:p>
            <w:pPr>
              <w:spacing w:after="0"/>
              <w:rPr>
                <w:sz w:val="11"/>
                <w:szCs w:val="11"/>
                <w:color w:val="auto"/>
              </w:rPr>
            </w:pPr>
          </w:p>
        </w:tc>
        <w:tc>
          <w:tcPr>
            <w:tcW w:w="20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132,698</w:t>
            </w:r>
          </w:p>
        </w:tc>
        <w:tc>
          <w:tcPr>
            <w:tcW w:w="100" w:type="dxa"/>
            <w:vAlign w:val="bottom"/>
          </w:tcPr>
          <w:p>
            <w:pPr>
              <w:spacing w:after="0"/>
              <w:rPr>
                <w:sz w:val="11"/>
                <w:szCs w:val="11"/>
                <w:color w:val="auto"/>
              </w:rPr>
            </w:pPr>
          </w:p>
        </w:tc>
      </w:tr>
      <w:tr>
        <w:trPr>
          <w:trHeight w:val="27"/>
        </w:trPr>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Prior to the effectiveness of the Third Amended and Restated Certificate of Incorporation, the rights, preferences, and privileges of the Preferred Stock as of December 31, 2016 were as follows: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Dividends</w:t>
      </w:r>
    </w:p>
    <w:p>
      <w:pPr>
        <w:spacing w:after="0" w:line="153" w:lineRule="exact"/>
        <w:rPr>
          <w:sz w:val="20"/>
          <w:szCs w:val="20"/>
          <w:color w:val="auto"/>
        </w:rPr>
      </w:pPr>
    </w:p>
    <w:p>
      <w:pPr>
        <w:jc w:val="both"/>
        <w:ind w:left="360" w:firstLine="323"/>
        <w:spacing w:after="0" w:line="269" w:lineRule="auto"/>
        <w:rPr>
          <w:sz w:val="20"/>
          <w:szCs w:val="20"/>
          <w:color w:val="auto"/>
        </w:rPr>
      </w:pPr>
      <w:r>
        <w:rPr>
          <w:rFonts w:ascii="Arial" w:cs="Arial" w:eastAsia="Arial" w:hAnsi="Arial"/>
          <w:sz w:val="11"/>
          <w:szCs w:val="11"/>
          <w:color w:val="auto"/>
        </w:rPr>
        <w:t>The holders of the Preferred Stock are entitled to receive dividends, when and as declared by the Board and out of funds legally available, payable in preference and priority to any payment of any dividend on common stock, based upon the number of shares of common stock into which the shares of Preferred Stock held by such holder are convertible at the date of record. No dividends or other distributions will be made with respect to the common stock until all declared dividends on the Preferred Stock have been paid. Through December 31, 2016 and June 30, 2017, no dividends have been declared or paid by the Company.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2" w:right="279" w:bottom="1440" w:gutter="0" w:footer="0" w:header="0"/>
        </w:sectPr>
      </w:pPr>
    </w:p>
    <w:bookmarkStart w:id="205" w:name="page206"/>
    <w:bookmarkEnd w:id="205"/>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ind w:left="368" w:right="7620" w:hanging="368"/>
        <w:spacing w:after="0" w:line="497" w:lineRule="auto"/>
        <w:tabs>
          <w:tab w:leader="none" w:pos="138"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Convertible Preferred Stock and Stockholders' Equity (Continued) </w:t>
      </w:r>
      <w:r>
        <w:rPr>
          <w:rFonts w:ascii="Arial" w:cs="Arial" w:eastAsia="Arial" w:hAnsi="Arial"/>
          <w:sz w:val="12"/>
          <w:szCs w:val="12"/>
          <w:i w:val="1"/>
          <w:iCs w:val="1"/>
          <w:color w:val="auto"/>
        </w:rPr>
        <w:t>Liquidation Preference</w:t>
      </w:r>
    </w:p>
    <w:p>
      <w:pPr>
        <w:spacing w:after="0" w:line="1" w:lineRule="exact"/>
        <w:rPr>
          <w:sz w:val="20"/>
          <w:szCs w:val="20"/>
          <w:color w:val="auto"/>
        </w:rPr>
      </w:pPr>
    </w:p>
    <w:p>
      <w:pPr>
        <w:ind w:left="368" w:right="220" w:firstLine="325"/>
        <w:spacing w:after="0" w:line="237" w:lineRule="auto"/>
        <w:rPr>
          <w:sz w:val="20"/>
          <w:szCs w:val="20"/>
          <w:color w:val="auto"/>
        </w:rPr>
      </w:pPr>
      <w:r>
        <w:rPr>
          <w:rFonts w:ascii="Arial" w:cs="Arial" w:eastAsia="Arial" w:hAnsi="Arial"/>
          <w:sz w:val="12"/>
          <w:szCs w:val="12"/>
          <w:color w:val="auto"/>
        </w:rPr>
        <w:t>In the event of any voluntary or involuntary liquidation, dissolution, or winding up of the Company, the holders of the Series A, Series B, Series C, Series D, and Series E Preferred Stock shall be entitled to receive, on a preferred basis prior and in preference to any distribution to the holders of common stock, an amount of cash per share equal to the greater of (i) the Original Issue Price of the Series A, Series B, Series C, Series D, and Series E Preferred Stock, respectively, plus any dividends declared but unpaid thereon, or (ii) such amount per share as would have been payable had all shares of Preferred Stock been converted into Class B common stock immediately prior to such liquidation, dissolution, or winding up of the Company.</w:t>
      </w:r>
    </w:p>
    <w:p>
      <w:pPr>
        <w:spacing w:after="0" w:line="139" w:lineRule="exact"/>
        <w:rPr>
          <w:sz w:val="20"/>
          <w:szCs w:val="20"/>
          <w:color w:val="auto"/>
        </w:rPr>
      </w:pPr>
    </w:p>
    <w:p>
      <w:pPr>
        <w:ind w:left="688"/>
        <w:spacing w:after="0"/>
        <w:rPr>
          <w:sz w:val="20"/>
          <w:szCs w:val="20"/>
          <w:color w:val="auto"/>
        </w:rPr>
      </w:pPr>
      <w:r>
        <w:rPr>
          <w:rFonts w:ascii="Arial" w:cs="Arial" w:eastAsia="Arial" w:hAnsi="Arial"/>
          <w:sz w:val="12"/>
          <w:szCs w:val="12"/>
          <w:color w:val="auto"/>
        </w:rPr>
        <w:t>Thereafter, the remaining assets available for distribution shall be distributed among the holders of common stock, pro rata, based on the number of shares held by each such holder.</w:t>
      </w:r>
    </w:p>
    <w:p>
      <w:pPr>
        <w:spacing w:after="0" w:line="141" w:lineRule="exact"/>
        <w:rPr>
          <w:sz w:val="20"/>
          <w:szCs w:val="20"/>
          <w:color w:val="auto"/>
        </w:rPr>
      </w:pPr>
    </w:p>
    <w:p>
      <w:pPr>
        <w:ind w:left="368" w:right="20" w:firstLine="325"/>
        <w:spacing w:after="0" w:line="239" w:lineRule="auto"/>
        <w:rPr>
          <w:sz w:val="20"/>
          <w:szCs w:val="20"/>
          <w:color w:val="auto"/>
        </w:rPr>
      </w:pPr>
      <w:r>
        <w:rPr>
          <w:rFonts w:ascii="Arial" w:cs="Arial" w:eastAsia="Arial" w:hAnsi="Arial"/>
          <w:sz w:val="12"/>
          <w:szCs w:val="12"/>
          <w:color w:val="auto"/>
        </w:rPr>
        <w:t>If the funds available upon liquidation are insufficient to satisfy in full the Preferred Stock liquidation amount, the assets of the Company shall be shared ratably among the holders of the Preferred Stock based upon their respective amounts, which would be payable with respect to the shares held by them if amounts were paid in full.</w:t>
      </w:r>
    </w:p>
    <w:p>
      <w:pPr>
        <w:spacing w:after="0" w:line="139" w:lineRule="exact"/>
        <w:rPr>
          <w:sz w:val="20"/>
          <w:szCs w:val="20"/>
          <w:color w:val="auto"/>
        </w:rPr>
      </w:pPr>
    </w:p>
    <w:p>
      <w:pPr>
        <w:ind w:left="368" w:right="280" w:firstLine="319"/>
        <w:spacing w:after="0" w:line="239" w:lineRule="auto"/>
        <w:rPr>
          <w:sz w:val="20"/>
          <w:szCs w:val="20"/>
          <w:color w:val="auto"/>
        </w:rPr>
      </w:pPr>
      <w:r>
        <w:rPr>
          <w:rFonts w:ascii="Arial" w:cs="Arial" w:eastAsia="Arial" w:hAnsi="Arial"/>
          <w:sz w:val="12"/>
          <w:szCs w:val="12"/>
          <w:color w:val="auto"/>
        </w:rPr>
        <w:t>As the shares of Preferred Stock may become redeemable upon a liquidation event that is outside of the control of the Company, the liquidation value of the Preferred Stock has been classified outside of permanent equity.</w:t>
      </w:r>
    </w:p>
    <w:p>
      <w:pPr>
        <w:spacing w:after="0" w:line="127" w:lineRule="exact"/>
        <w:rPr>
          <w:sz w:val="20"/>
          <w:szCs w:val="20"/>
          <w:color w:val="auto"/>
        </w:rPr>
      </w:pPr>
    </w:p>
    <w:p>
      <w:pPr>
        <w:ind w:left="368"/>
        <w:spacing w:after="0"/>
        <w:rPr>
          <w:sz w:val="20"/>
          <w:szCs w:val="20"/>
          <w:color w:val="auto"/>
        </w:rPr>
      </w:pPr>
      <w:r>
        <w:rPr>
          <w:rFonts w:ascii="Arial" w:cs="Arial" w:eastAsia="Arial" w:hAnsi="Arial"/>
          <w:sz w:val="12"/>
          <w:szCs w:val="12"/>
          <w:i w:val="1"/>
          <w:iCs w:val="1"/>
          <w:color w:val="auto"/>
        </w:rPr>
        <w:t>Conversion</w:t>
      </w:r>
    </w:p>
    <w:p>
      <w:pPr>
        <w:spacing w:after="0" w:line="153" w:lineRule="exact"/>
        <w:rPr>
          <w:sz w:val="20"/>
          <w:szCs w:val="20"/>
          <w:color w:val="auto"/>
        </w:rPr>
      </w:pPr>
    </w:p>
    <w:p>
      <w:pPr>
        <w:ind w:left="368" w:right="100" w:firstLine="325"/>
        <w:spacing w:after="0" w:line="237" w:lineRule="auto"/>
        <w:rPr>
          <w:sz w:val="20"/>
          <w:szCs w:val="20"/>
          <w:color w:val="auto"/>
        </w:rPr>
      </w:pPr>
      <w:r>
        <w:rPr>
          <w:rFonts w:ascii="Arial" w:cs="Arial" w:eastAsia="Arial" w:hAnsi="Arial"/>
          <w:sz w:val="12"/>
          <w:szCs w:val="12"/>
          <w:color w:val="auto"/>
        </w:rPr>
        <w:t>Each share of the Preferred Stock, at the option of the holder, is convertible into a number of fully paid and non-assessable shares of Class B common stock as determined by dividing the respective Original Issue Price of the Series A, Series B, Series C, Series D, and Series E Preferred Stock by the conversion price in effect at the time. The conversion price of Series A, Series B, Series C, Series D, and Series E Preferred Stock is $0.525053 per share, $0.780899, $0.849012 per share, $40.642989 per share, and $54.19065 per share, respectively, and is subject to adjustment in accordance with anti-dilution provisions contained in the Company's Second Amended and Restated Certificate of Incorporation.</w:t>
      </w:r>
    </w:p>
    <w:p>
      <w:pPr>
        <w:spacing w:after="0" w:line="139" w:lineRule="exact"/>
        <w:rPr>
          <w:sz w:val="20"/>
          <w:szCs w:val="20"/>
          <w:color w:val="auto"/>
        </w:rPr>
      </w:pPr>
    </w:p>
    <w:p>
      <w:pPr>
        <w:ind w:left="368" w:right="280" w:firstLine="325"/>
        <w:spacing w:after="0" w:line="239" w:lineRule="auto"/>
        <w:rPr>
          <w:sz w:val="20"/>
          <w:szCs w:val="20"/>
          <w:color w:val="auto"/>
        </w:rPr>
      </w:pPr>
      <w:r>
        <w:rPr>
          <w:rFonts w:ascii="Arial" w:cs="Arial" w:eastAsia="Arial" w:hAnsi="Arial"/>
          <w:sz w:val="12"/>
          <w:szCs w:val="12"/>
          <w:color w:val="auto"/>
        </w:rPr>
        <w:t>Conversion is automatic immediately upon the closing of a qualified initial public offering resulting in net proceeds to the Company of at least $75.0 million at an offering price of at least $5.00 per share of Class A common stock.</w:t>
      </w:r>
    </w:p>
    <w:p>
      <w:pPr>
        <w:spacing w:after="0" w:line="139" w:lineRule="exact"/>
        <w:rPr>
          <w:sz w:val="20"/>
          <w:szCs w:val="20"/>
          <w:color w:val="auto"/>
        </w:rPr>
      </w:pPr>
    </w:p>
    <w:p>
      <w:pPr>
        <w:ind w:left="368" w:firstLine="323"/>
        <w:spacing w:after="0" w:line="237" w:lineRule="auto"/>
        <w:rPr>
          <w:sz w:val="20"/>
          <w:szCs w:val="20"/>
          <w:color w:val="auto"/>
        </w:rPr>
      </w:pPr>
      <w:r>
        <w:rPr>
          <w:rFonts w:ascii="Arial" w:cs="Arial" w:eastAsia="Arial" w:hAnsi="Arial"/>
          <w:sz w:val="12"/>
          <w:szCs w:val="12"/>
          <w:color w:val="auto"/>
        </w:rPr>
        <w:t>The Company performs assessments of all terms and features of its Preferred Stock in order to identify any potential embedded features that would require bifurcation or any beneficial conversion features. As part of this analysis, the Company assessed the economic characteristics and risks of its Preferred Stock, including conversion, liquidation, and redemption features, as well as dividend and voting rights. Based on the Company's determination that each series of its Preferred Stock is an "equity host," the Company determined that the features of the Preferred Stock are most closely associated with an equity host, and, although the Preferred Stock includes conversion features, such conversion features do not require bifurcation as a derivative liability.</w:t>
      </w:r>
    </w:p>
    <w:p>
      <w:pPr>
        <w:spacing w:after="0" w:line="13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42" w:right="259" w:bottom="1440" w:gutter="0" w:footer="0" w:header="0"/>
        </w:sectPr>
      </w:pPr>
    </w:p>
    <w:bookmarkStart w:id="206" w:name="page207"/>
    <w:bookmarkEnd w:id="206"/>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ind w:left="368" w:right="7680" w:hanging="368"/>
        <w:spacing w:after="0" w:line="497" w:lineRule="auto"/>
        <w:tabs>
          <w:tab w:leader="none" w:pos="138"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Convertible Preferred Stock and Stockholders' Equity (Continued) </w:t>
      </w:r>
      <w:r>
        <w:rPr>
          <w:rFonts w:ascii="Arial" w:cs="Arial" w:eastAsia="Arial" w:hAnsi="Arial"/>
          <w:sz w:val="12"/>
          <w:szCs w:val="12"/>
          <w:i w:val="1"/>
          <w:iCs w:val="1"/>
          <w:color w:val="auto"/>
        </w:rPr>
        <w:t>Voting</w:t>
      </w:r>
    </w:p>
    <w:p>
      <w:pPr>
        <w:spacing w:after="0" w:line="1" w:lineRule="exact"/>
        <w:rPr>
          <w:sz w:val="20"/>
          <w:szCs w:val="20"/>
          <w:color w:val="auto"/>
        </w:rPr>
      </w:pPr>
    </w:p>
    <w:p>
      <w:pPr>
        <w:ind w:left="368" w:right="240" w:firstLine="323"/>
        <w:spacing w:after="0" w:line="239" w:lineRule="auto"/>
        <w:rPr>
          <w:sz w:val="20"/>
          <w:szCs w:val="20"/>
          <w:color w:val="auto"/>
        </w:rPr>
      </w:pPr>
      <w:r>
        <w:rPr>
          <w:rFonts w:ascii="Arial" w:cs="Arial" w:eastAsia="Arial" w:hAnsi="Arial"/>
          <w:sz w:val="12"/>
          <w:szCs w:val="12"/>
          <w:color w:val="auto"/>
        </w:rPr>
        <w:t>The holders of the Preferred Stock are entitled to vote, together with the holders of voting common stock, on all matters submitted to stockholders for a vote. Each holder of Preferred Stock is entitled to ten votes for each whole share of Class B common stock into which the shares of Preferred Stock held by such holder are convertible at the date of record.</w:t>
      </w:r>
    </w:p>
    <w:p>
      <w:pPr>
        <w:spacing w:after="0" w:line="139" w:lineRule="exact"/>
        <w:rPr>
          <w:sz w:val="20"/>
          <w:szCs w:val="20"/>
          <w:color w:val="auto"/>
        </w:rPr>
      </w:pPr>
    </w:p>
    <w:p>
      <w:pPr>
        <w:ind w:left="328"/>
        <w:spacing w:after="0"/>
        <w:rPr>
          <w:sz w:val="20"/>
          <w:szCs w:val="20"/>
          <w:color w:val="auto"/>
        </w:rPr>
      </w:pPr>
      <w:r>
        <w:rPr>
          <w:rFonts w:ascii="Arial" w:cs="Arial" w:eastAsia="Arial" w:hAnsi="Arial"/>
          <w:sz w:val="12"/>
          <w:szCs w:val="12"/>
          <w:color w:val="auto"/>
        </w:rPr>
        <w:t>Upon the effectiveness of the Third Amended and Restated Certificate of Incorporation, the rights and preferences of the Preferred Stock were amended as follows:</w:t>
      </w:r>
    </w:p>
    <w:p>
      <w:pPr>
        <w:spacing w:after="0" w:line="129" w:lineRule="exact"/>
        <w:rPr>
          <w:sz w:val="20"/>
          <w:szCs w:val="20"/>
          <w:color w:val="auto"/>
        </w:rPr>
      </w:pPr>
    </w:p>
    <w:p>
      <w:pPr>
        <w:ind w:left="368"/>
        <w:spacing w:after="0"/>
        <w:rPr>
          <w:sz w:val="20"/>
          <w:szCs w:val="20"/>
          <w:color w:val="auto"/>
        </w:rPr>
      </w:pPr>
      <w:r>
        <w:rPr>
          <w:rFonts w:ascii="Arial" w:cs="Arial" w:eastAsia="Arial" w:hAnsi="Arial"/>
          <w:sz w:val="12"/>
          <w:szCs w:val="12"/>
          <w:i w:val="1"/>
          <w:iCs w:val="1"/>
          <w:color w:val="auto"/>
        </w:rPr>
        <w:t>Conversion</w:t>
      </w:r>
    </w:p>
    <w:p>
      <w:pPr>
        <w:spacing w:after="0" w:line="153" w:lineRule="exact"/>
        <w:rPr>
          <w:sz w:val="20"/>
          <w:szCs w:val="20"/>
          <w:color w:val="auto"/>
        </w:rPr>
      </w:pPr>
    </w:p>
    <w:p>
      <w:pPr>
        <w:ind w:left="368" w:firstLine="325"/>
        <w:spacing w:after="0" w:line="236" w:lineRule="auto"/>
        <w:rPr>
          <w:sz w:val="20"/>
          <w:szCs w:val="20"/>
          <w:color w:val="auto"/>
        </w:rPr>
      </w:pPr>
      <w:r>
        <w:rPr>
          <w:rFonts w:ascii="Arial" w:cs="Arial" w:eastAsia="Arial" w:hAnsi="Arial"/>
          <w:sz w:val="12"/>
          <w:szCs w:val="12"/>
          <w:color w:val="auto"/>
        </w:rPr>
        <w:t>Each share of the Preferred Stock, at the option of the holder, is convertible into a number of fully paid and non-assessable shares of common stock as determined by dividing the respective Original Issue Price of the Series A, Series B, Series C, Series D, and Series E Preferred Stock by the conversion price in effect at the time, one third of which number of shares of common stock shall be shares of Class A common stock and two thirds of which number of shares of common stock shall be shares of Class B common stock. The conversion price of Series A, Series B, Series C, Series D, and Series E Preferred Stock was amended to be $0.0875088 per share, $0.1301498 per share, $0.1415020 per share, $6.7738315 per share, and $9.0317750 per share, respectively, and is subject to adjustment in accordance with anti-dilution provisions contained in the Company's Third Amended and Restated Certificate of Incorporation. Further, upon a Qualified IPO, as defined in the Company's Third Amended and Restated Certificate of Incorporation, each outstanding share of Preferred Stock will automatically convert into two shares of Class A common stock and four shares of Class B common stock, and all shares of Class B common stock issued thereupon or previously issued upon any conversion of Preferred Stock will further automatically convert, on a share for share basis, into Class A common stock.</w:t>
      </w:r>
    </w:p>
    <w:p>
      <w:pPr>
        <w:spacing w:after="0" w:line="140" w:lineRule="exact"/>
        <w:rPr>
          <w:sz w:val="20"/>
          <w:szCs w:val="20"/>
          <w:color w:val="auto"/>
        </w:rPr>
      </w:pPr>
    </w:p>
    <w:p>
      <w:pPr>
        <w:ind w:left="368" w:right="460" w:firstLine="319"/>
        <w:spacing w:after="0" w:line="239" w:lineRule="auto"/>
        <w:rPr>
          <w:sz w:val="20"/>
          <w:szCs w:val="20"/>
          <w:color w:val="auto"/>
        </w:rPr>
      </w:pPr>
      <w:r>
        <w:rPr>
          <w:rFonts w:ascii="Arial" w:cs="Arial" w:eastAsia="Arial" w:hAnsi="Arial"/>
          <w:sz w:val="12"/>
          <w:szCs w:val="12"/>
          <w:color w:val="auto"/>
        </w:rPr>
        <w:t>At December 31, 2016 and June 30, 2017, 20,188,226 shares of Class A common stock and 40,376,452 shares of Class B common stock, respectively, were reserved for conversion of the outstanding Preferred Stock.</w:t>
      </w:r>
    </w:p>
    <w:p>
      <w:pPr>
        <w:spacing w:after="0" w:line="127" w:lineRule="exact"/>
        <w:rPr>
          <w:sz w:val="20"/>
          <w:szCs w:val="20"/>
          <w:color w:val="auto"/>
        </w:rPr>
      </w:pPr>
    </w:p>
    <w:p>
      <w:pPr>
        <w:ind w:left="368"/>
        <w:spacing w:after="0"/>
        <w:rPr>
          <w:sz w:val="20"/>
          <w:szCs w:val="20"/>
          <w:color w:val="auto"/>
        </w:rPr>
      </w:pPr>
      <w:r>
        <w:rPr>
          <w:rFonts w:ascii="Arial" w:cs="Arial" w:eastAsia="Arial" w:hAnsi="Arial"/>
          <w:sz w:val="12"/>
          <w:szCs w:val="12"/>
          <w:i w:val="1"/>
          <w:iCs w:val="1"/>
          <w:color w:val="auto"/>
        </w:rPr>
        <w:t>Voting</w:t>
      </w:r>
    </w:p>
    <w:p>
      <w:pPr>
        <w:spacing w:after="0" w:line="153" w:lineRule="exact"/>
        <w:rPr>
          <w:sz w:val="20"/>
          <w:szCs w:val="20"/>
          <w:color w:val="auto"/>
        </w:rPr>
      </w:pPr>
    </w:p>
    <w:p>
      <w:pPr>
        <w:ind w:left="368" w:right="60" w:firstLine="323"/>
        <w:spacing w:after="0" w:line="237" w:lineRule="auto"/>
        <w:rPr>
          <w:sz w:val="20"/>
          <w:szCs w:val="20"/>
          <w:color w:val="auto"/>
        </w:rPr>
      </w:pPr>
      <w:r>
        <w:rPr>
          <w:rFonts w:ascii="Arial" w:cs="Arial" w:eastAsia="Arial" w:hAnsi="Arial"/>
          <w:sz w:val="12"/>
          <w:szCs w:val="12"/>
          <w:color w:val="auto"/>
        </w:rPr>
        <w:t>The holders of the Preferred Stock are entitled to vote, together with the holders of common stock, on all matters submitted to stockholders for a vote. Each holder of Preferred Stock is entitled to one vote for each whole share of Class A common stock into which the shares of Preferred Stock held by such holder are convertible at the date of record and ten votes for each whole share of Class B common stock into which the shares of Preferred Stock held by such holder are convertible at the date of record.</w:t>
      </w:r>
    </w:p>
    <w:p>
      <w:pPr>
        <w:spacing w:after="0" w:line="129" w:lineRule="exact"/>
        <w:rPr>
          <w:sz w:val="20"/>
          <w:szCs w:val="20"/>
          <w:color w:val="auto"/>
        </w:rPr>
      </w:pPr>
    </w:p>
    <w:p>
      <w:pPr>
        <w:ind w:left="368"/>
        <w:spacing w:after="0"/>
        <w:rPr>
          <w:sz w:val="20"/>
          <w:szCs w:val="20"/>
          <w:color w:val="auto"/>
        </w:rPr>
      </w:pPr>
      <w:r>
        <w:rPr>
          <w:rFonts w:ascii="Arial" w:cs="Arial" w:eastAsia="Arial" w:hAnsi="Arial"/>
          <w:sz w:val="12"/>
          <w:szCs w:val="12"/>
          <w:i w:val="1"/>
          <w:iCs w:val="1"/>
          <w:color w:val="auto"/>
        </w:rPr>
        <w:t>Qualified IPO</w:t>
      </w:r>
    </w:p>
    <w:p>
      <w:pPr>
        <w:spacing w:after="0" w:line="153" w:lineRule="exact"/>
        <w:rPr>
          <w:sz w:val="20"/>
          <w:szCs w:val="20"/>
          <w:color w:val="auto"/>
        </w:rPr>
      </w:pPr>
    </w:p>
    <w:p>
      <w:pPr>
        <w:ind w:left="368" w:right="60" w:firstLine="323"/>
        <w:spacing w:after="0" w:line="239" w:lineRule="auto"/>
        <w:rPr>
          <w:sz w:val="20"/>
          <w:szCs w:val="20"/>
          <w:color w:val="auto"/>
        </w:rPr>
      </w:pPr>
      <w:r>
        <w:rPr>
          <w:rFonts w:ascii="Arial" w:cs="Arial" w:eastAsia="Arial" w:hAnsi="Arial"/>
          <w:sz w:val="12"/>
          <w:szCs w:val="12"/>
          <w:color w:val="auto"/>
        </w:rPr>
        <w:t>The term Qualified IPO was amended in the Company's Third Amended and Restated Certificate of Incorporation to mean a public offering resulting in net proceeds to the Company and selling stockholders of at least $75.0 million in the aggregate, at an offering price of at least $0.83 per share of Class A common stock.</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bookmarkStart w:id="207" w:name="page208"/>
    <w:bookmarkEnd w:id="207"/>
    <w:p>
      <w:pPr>
        <w:ind w:left="8"/>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Stock-based Compensation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Equity Incentive Plans</w:t>
      </w:r>
    </w:p>
    <w:p>
      <w:pPr>
        <w:spacing w:after="0" w:line="155" w:lineRule="exact"/>
        <w:rPr>
          <w:sz w:val="20"/>
          <w:szCs w:val="20"/>
          <w:color w:val="auto"/>
        </w:rPr>
      </w:pPr>
    </w:p>
    <w:p>
      <w:pPr>
        <w:ind w:left="8" w:right="240" w:firstLine="319"/>
        <w:spacing w:after="0" w:line="239" w:lineRule="auto"/>
        <w:rPr>
          <w:sz w:val="20"/>
          <w:szCs w:val="20"/>
          <w:color w:val="auto"/>
        </w:rPr>
      </w:pPr>
      <w:r>
        <w:rPr>
          <w:rFonts w:ascii="Arial" w:cs="Arial" w:eastAsia="Arial" w:hAnsi="Arial"/>
          <w:sz w:val="12"/>
          <w:szCs w:val="12"/>
          <w:color w:val="auto"/>
        </w:rPr>
        <w:t>At December 31, 2016, the Company had one stock-based compensation plan, which merged the Company's two prior stock-based compensation plans: the 2006 Equity Incentive Plan, or the 2006 Plan, and the Amended and Restated 2015 Equity Incentive Plan, or the 2015 Plan.</w:t>
      </w:r>
    </w:p>
    <w:p>
      <w:pPr>
        <w:spacing w:after="0" w:line="139" w:lineRule="exact"/>
        <w:rPr>
          <w:sz w:val="20"/>
          <w:szCs w:val="20"/>
          <w:color w:val="auto"/>
        </w:rPr>
      </w:pPr>
    </w:p>
    <w:p>
      <w:pPr>
        <w:ind w:left="8" w:right="40" w:firstLine="323"/>
        <w:spacing w:after="0" w:line="281" w:lineRule="auto"/>
        <w:rPr>
          <w:sz w:val="20"/>
          <w:szCs w:val="20"/>
          <w:color w:val="auto"/>
        </w:rPr>
      </w:pPr>
      <w:r>
        <w:rPr>
          <w:rFonts w:ascii="Arial" w:cs="Arial" w:eastAsia="Arial" w:hAnsi="Arial"/>
          <w:sz w:val="11"/>
          <w:szCs w:val="11"/>
          <w:color w:val="auto"/>
        </w:rPr>
        <w:t>The 2006 Plan provided for the issuance of non-qualified stock options and restricted stock units to the Company's employees, officers, directors, consultants, and advisors, up to an aggregate of 3,444,668 shares of the Company's Class B common stock. In conjunction with the effectiveness of the 2015 Plan, the Board voted that no further stock options or other equity-based awards may be granted under the 2006 Plan.</w:t>
      </w:r>
    </w:p>
    <w:p>
      <w:pPr>
        <w:spacing w:after="0" w:line="118" w:lineRule="exact"/>
        <w:rPr>
          <w:sz w:val="20"/>
          <w:szCs w:val="20"/>
          <w:color w:val="auto"/>
        </w:rPr>
      </w:pPr>
    </w:p>
    <w:p>
      <w:pPr>
        <w:ind w:left="8" w:right="60" w:firstLine="326"/>
        <w:spacing w:after="0" w:line="237" w:lineRule="auto"/>
        <w:rPr>
          <w:sz w:val="20"/>
          <w:szCs w:val="20"/>
          <w:color w:val="auto"/>
        </w:rPr>
      </w:pPr>
      <w:r>
        <w:rPr>
          <w:rFonts w:ascii="Arial" w:cs="Arial" w:eastAsia="Arial" w:hAnsi="Arial"/>
          <w:sz w:val="12"/>
          <w:szCs w:val="12"/>
          <w:color w:val="auto"/>
        </w:rPr>
        <w:t>In 2015, the Board adopted the 2015 Plan, which became effective on June 26, 2015. The Plan is intended to be an incentive stock option plan within the meaning of Section 422 of the Internal Revenue Code of 1986, as amended, or the Code, but not all awards are required to be incentive options. The 2015 Plan was amended and restated effective August 6, 2015 to permit the granting of RSUs under the 2015 Plan, remove Class B common stock from the pool of shares available for issuance under the 2015 Plan and make certain other desired changes. The 2015 Plan was further amended and restated at October 15, 2015 to add a ten-year term and to make certain other desired changes.</w:t>
      </w:r>
    </w:p>
    <w:p>
      <w:pPr>
        <w:spacing w:after="0" w:line="139" w:lineRule="exact"/>
        <w:rPr>
          <w:sz w:val="20"/>
          <w:szCs w:val="20"/>
          <w:color w:val="auto"/>
        </w:rPr>
      </w:pPr>
    </w:p>
    <w:p>
      <w:pPr>
        <w:jc w:val="both"/>
        <w:ind w:left="8" w:right="200" w:firstLine="323"/>
        <w:spacing w:after="0" w:line="237" w:lineRule="auto"/>
        <w:rPr>
          <w:sz w:val="20"/>
          <w:szCs w:val="20"/>
          <w:color w:val="auto"/>
        </w:rPr>
      </w:pPr>
      <w:r>
        <w:rPr>
          <w:rFonts w:ascii="Arial" w:cs="Arial" w:eastAsia="Arial" w:hAnsi="Arial"/>
          <w:sz w:val="12"/>
          <w:szCs w:val="12"/>
          <w:color w:val="auto"/>
        </w:rPr>
        <w:t>The 2015 Plan provides for the granting of incentive stock options, or ISOs, non-qualified stock options, restricted stock, and RSUs to employees and non-employees to purchase up to 603,436 shares of common stock. The exercise price of the ISOs cannot be less than the fair market value of the common stock on the date of grant, or less than 110% of the fair market value in the case of employees holding 10% or more of the voting stock of the Company. Options generally vest over a four-year period, and expire ten years from the original date of grant.</w:t>
      </w:r>
    </w:p>
    <w:p>
      <w:pPr>
        <w:spacing w:after="0" w:line="141" w:lineRule="exact"/>
        <w:rPr>
          <w:sz w:val="20"/>
          <w:szCs w:val="20"/>
          <w:color w:val="auto"/>
        </w:rPr>
      </w:pPr>
    </w:p>
    <w:p>
      <w:pPr>
        <w:ind w:left="8" w:right="20" w:firstLine="323"/>
        <w:spacing w:after="0" w:line="256" w:lineRule="auto"/>
        <w:rPr>
          <w:sz w:val="20"/>
          <w:szCs w:val="20"/>
          <w:color w:val="auto"/>
        </w:rPr>
      </w:pPr>
      <w:r>
        <w:rPr>
          <w:rFonts w:ascii="Arial" w:cs="Arial" w:eastAsia="Arial" w:hAnsi="Arial"/>
          <w:sz w:val="11"/>
          <w:szCs w:val="11"/>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the tenth anniversary of the 2015 Plan. Pursuant to the further amendment and restatement of the 2015 Plan, prior to giving effect to the recapitalization that occurred on June 21, 2017, there were (i) 618,691 shares of Class A common stock, plus (ii) 802,562 shares of Class B common stock authorized under the 2015 Plan, as amended and restated; provided, however, that</w:t>
      </w:r>
    </w:p>
    <w:p>
      <w:pPr>
        <w:spacing w:after="0" w:line="1" w:lineRule="exact"/>
        <w:rPr>
          <w:sz w:val="20"/>
          <w:szCs w:val="20"/>
          <w:color w:val="auto"/>
        </w:rPr>
      </w:pPr>
    </w:p>
    <w:p>
      <w:pPr>
        <w:ind w:left="8" w:hanging="8"/>
        <w:spacing w:after="0" w:line="236" w:lineRule="auto"/>
        <w:tabs>
          <w:tab w:leader="none" w:pos="18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number of shares of Class A common stock may be increased, on a share for share basis, by the number of shares of Class B common stock that are (a) subject to outstanding options granted under the 2006 Plan that expire, terminate, or are cancelled for any reason without having been exercised, (b) 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will be decreased, on a corresponding share for share basis, (2) no new awards of Class B common stock will be granted under the amended and restated 2015 Plan, and (3) except with respect to outstanding options granted under the 2006 Plan that are exercised on or after the date hereof, no Class B common stock will be issued under the 2015 Plan.</w:t>
      </w:r>
    </w:p>
    <w:p>
      <w:pPr>
        <w:spacing w:after="0" w:line="141" w:lineRule="exact"/>
        <w:rPr>
          <w:sz w:val="20"/>
          <w:szCs w:val="20"/>
          <w:color w:val="auto"/>
        </w:rPr>
      </w:pPr>
    </w:p>
    <w:p>
      <w:pPr>
        <w:ind w:left="328"/>
        <w:spacing w:after="0"/>
        <w:rPr>
          <w:sz w:val="20"/>
          <w:szCs w:val="20"/>
          <w:color w:val="auto"/>
        </w:rPr>
      </w:pPr>
      <w:r>
        <w:rPr>
          <w:rFonts w:ascii="Arial" w:cs="Arial" w:eastAsia="Arial" w:hAnsi="Arial"/>
          <w:sz w:val="12"/>
          <w:szCs w:val="12"/>
          <w:color w:val="auto"/>
        </w:rPr>
        <w:t>At December 31, 2016 and June 30, 2017, 1,158,048 shares and 657,912 shares, respectively, were available for issuance under the 2015 Plan.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208" w:name="page209"/>
    <w:bookmarkEnd w:id="208"/>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 (Continued)</w:t>
      </w:r>
    </w:p>
    <w:p>
      <w:pPr>
        <w:spacing w:after="0" w:line="155" w:lineRule="exact"/>
        <w:rPr>
          <w:sz w:val="20"/>
          <w:szCs w:val="20"/>
          <w:color w:val="auto"/>
        </w:rPr>
      </w:pPr>
    </w:p>
    <w:p>
      <w:pPr>
        <w:ind w:right="20" w:firstLine="326"/>
        <w:spacing w:after="0" w:line="237" w:lineRule="auto"/>
        <w:rPr>
          <w:sz w:val="20"/>
          <w:szCs w:val="20"/>
          <w:color w:val="auto"/>
        </w:rPr>
      </w:pPr>
      <w:r>
        <w:rPr>
          <w:rFonts w:ascii="Arial" w:cs="Arial" w:eastAsia="Arial" w:hAnsi="Arial"/>
          <w:sz w:val="12"/>
          <w:szCs w:val="12"/>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under the 2015 Plan.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is a summary of the stock option activity for all stock-based compensation plans during the year ended December 31, 2016 and the six months ended June 30, 2017:</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2"/>
                <w:szCs w:val="12"/>
                <w:color w:val="auto"/>
              </w:rPr>
              <w:t>Weighted-Average</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w w:val="98"/>
              </w:rPr>
              <w:t>Weighted-Average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color w:val="auto"/>
                <w:w w:val="97"/>
              </w:rPr>
              <w:t>Aggregate</w:t>
            </w:r>
          </w:p>
        </w:tc>
      </w:tr>
      <w:tr>
        <w:trPr>
          <w:trHeight w:val="135"/>
        </w:trPr>
        <w:tc>
          <w:tcPr>
            <w:tcW w:w="7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Common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21"/>
              <w:spacing w:after="0" w:line="135" w:lineRule="exact"/>
              <w:rPr>
                <w:sz w:val="20"/>
                <w:szCs w:val="20"/>
                <w:color w:val="auto"/>
              </w:rPr>
            </w:pPr>
            <w:r>
              <w:rPr>
                <w:rFonts w:ascii="Arial" w:cs="Arial" w:eastAsia="Arial" w:hAnsi="Arial"/>
                <w:sz w:val="12"/>
                <w:szCs w:val="12"/>
                <w:color w:val="auto"/>
              </w:rPr>
              <w:t>Exercise Price</w:t>
            </w:r>
          </w:p>
        </w:tc>
        <w:tc>
          <w:tcPr>
            <w:tcW w:w="100" w:type="dxa"/>
            <w:vAlign w:val="bottom"/>
          </w:tcPr>
          <w:p>
            <w:pPr>
              <w:spacing w:after="0"/>
              <w:rPr>
                <w:sz w:val="11"/>
                <w:szCs w:val="11"/>
                <w:color w:val="auto"/>
              </w:rPr>
            </w:pPr>
          </w:p>
        </w:tc>
        <w:tc>
          <w:tcPr>
            <w:tcW w:w="10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Contractual Life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6"/>
              </w:rPr>
              <w:t>Intrinsic</w:t>
            </w:r>
          </w:p>
        </w:tc>
      </w:tr>
      <w:tr>
        <w:trPr>
          <w:trHeight w:val="169"/>
        </w:trPr>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color w:val="auto"/>
              </w:rPr>
              <w:t>for Equity</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auto"/>
              </w:rPr>
              <w:t>(In Years)</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70" w:lineRule="exact"/>
              <w:rPr>
                <w:sz w:val="20"/>
                <w:szCs w:val="20"/>
                <w:color w:val="auto"/>
              </w:rPr>
            </w:pPr>
            <w:r>
              <w:rPr>
                <w:rFonts w:ascii="Arial" w:cs="Arial" w:eastAsia="Arial" w:hAnsi="Arial"/>
                <w:sz w:val="12"/>
                <w:szCs w:val="12"/>
                <w:color w:val="auto"/>
                <w:w w:val="90"/>
              </w:rPr>
              <w:t>Value</w:t>
            </w:r>
            <w:r>
              <w:rPr>
                <w:rFonts w:ascii="Arial" w:cs="Arial" w:eastAsia="Arial" w:hAnsi="Arial"/>
                <w:sz w:val="19"/>
                <w:szCs w:val="19"/>
                <w:color w:val="auto"/>
                <w:w w:val="90"/>
                <w:vertAlign w:val="superscript"/>
              </w:rPr>
              <w:t>(2)</w:t>
            </w:r>
          </w:p>
        </w:tc>
        <w:tc>
          <w:tcPr>
            <w:tcW w:w="120" w:type="dxa"/>
            <w:vAlign w:val="bottom"/>
          </w:tcPr>
          <w:p>
            <w:pPr>
              <w:spacing w:after="0"/>
              <w:rPr>
                <w:sz w:val="14"/>
                <w:szCs w:val="14"/>
                <w:color w:val="auto"/>
              </w:rPr>
            </w:pPr>
          </w:p>
        </w:tc>
      </w:tr>
      <w:tr>
        <w:trPr>
          <w:trHeight w:val="133"/>
        </w:trPr>
        <w:tc>
          <w:tcPr>
            <w:tcW w:w="54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Outstanding, December 31, 2015</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5,626,710</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0.99</w:t>
            </w:r>
          </w:p>
        </w:tc>
        <w:tc>
          <w:tcPr>
            <w:tcW w:w="1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7.6</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15,051</w:t>
            </w:r>
          </w:p>
        </w:tc>
        <w:tc>
          <w:tcPr>
            <w:tcW w:w="120" w:type="dxa"/>
            <w:vAlign w:val="bottom"/>
            <w:shd w:val="clear" w:color="auto" w:fill="CCEEFF"/>
          </w:tcPr>
          <w:p>
            <w:pPr>
              <w:spacing w:after="0"/>
              <w:rPr>
                <w:sz w:val="11"/>
                <w:szCs w:val="11"/>
                <w:color w:val="auto"/>
              </w:rPr>
            </w:pPr>
          </w:p>
        </w:tc>
      </w:tr>
      <w:tr>
        <w:trPr>
          <w:trHeight w:val="135"/>
        </w:trPr>
        <w:tc>
          <w:tcPr>
            <w:tcW w:w="54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Granted</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689,400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6.77</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4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Exercised</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(123,672)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0.77</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4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Forfeited and cancelled</w:t>
            </w: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(493,626)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1.76</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540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Outstanding, December 31, 2016</w:t>
            </w: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5,698,812</w:t>
            </w:r>
          </w:p>
        </w:tc>
        <w:tc>
          <w:tcPr>
            <w:tcW w:w="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1.63</w:t>
            </w:r>
          </w:p>
        </w:tc>
        <w:tc>
          <w:tcPr>
            <w:tcW w:w="1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23,893</w:t>
            </w:r>
          </w:p>
        </w:tc>
        <w:tc>
          <w:tcPr>
            <w:tcW w:w="120" w:type="dxa"/>
            <w:vAlign w:val="bottom"/>
            <w:shd w:val="clear" w:color="auto" w:fill="CCEEFF"/>
          </w:tcPr>
          <w:p>
            <w:pPr>
              <w:spacing w:after="0"/>
              <w:rPr>
                <w:sz w:val="10"/>
                <w:szCs w:val="10"/>
                <w:color w:val="auto"/>
              </w:rPr>
            </w:pPr>
          </w:p>
        </w:tc>
      </w:tr>
      <w:tr>
        <w:trPr>
          <w:trHeight w:val="135"/>
        </w:trPr>
        <w:tc>
          <w:tcPr>
            <w:tcW w:w="54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Granted (unaudited)</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4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Exercised (unaudited)</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(175,452)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0.95</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40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Forfeited and cancelled (unaudited)</w:t>
            </w: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(312,192)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1.70</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540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Outstanding, June 30, 2017 (unaudited)</w:t>
            </w: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5,211,168</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1.65</w:t>
            </w:r>
          </w:p>
        </w:tc>
        <w:tc>
          <w:tcPr>
            <w:tcW w:w="1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51,240</w:t>
            </w:r>
          </w:p>
        </w:tc>
        <w:tc>
          <w:tcPr>
            <w:tcW w:w="120" w:type="dxa"/>
            <w:vAlign w:val="bottom"/>
            <w:shd w:val="clear" w:color="auto" w:fill="CCEEFF"/>
          </w:tcPr>
          <w:p>
            <w:pPr>
              <w:spacing w:after="0"/>
              <w:rPr>
                <w:sz w:val="11"/>
                <w:szCs w:val="11"/>
                <w:color w:val="auto"/>
              </w:rPr>
            </w:pPr>
          </w:p>
        </w:tc>
      </w:tr>
      <w:tr>
        <w:trPr>
          <w:trHeight w:val="142"/>
        </w:trPr>
        <w:tc>
          <w:tcPr>
            <w:tcW w:w="540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exercisable at December 31, 2016</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3,424,704</w:t>
            </w:r>
          </w:p>
        </w:tc>
        <w:tc>
          <w:tcPr>
            <w:tcW w:w="80" w:type="dxa"/>
            <w:vAlign w:val="bottom"/>
          </w:tcPr>
          <w:p>
            <w:pPr>
              <w:spacing w:after="0"/>
              <w:rPr>
                <w:sz w:val="12"/>
                <w:szCs w:val="12"/>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0.56</w:t>
            </w:r>
          </w:p>
        </w:tc>
        <w:tc>
          <w:tcPr>
            <w:tcW w:w="1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17,360</w:t>
            </w:r>
          </w:p>
        </w:tc>
        <w:tc>
          <w:tcPr>
            <w:tcW w:w="120" w:type="dxa"/>
            <w:vAlign w:val="bottom"/>
          </w:tcPr>
          <w:p>
            <w:pPr>
              <w:spacing w:after="0"/>
              <w:rPr>
                <w:sz w:val="12"/>
                <w:szCs w:val="12"/>
                <w:color w:val="auto"/>
              </w:rPr>
            </w:pPr>
          </w:p>
        </w:tc>
      </w:tr>
      <w:tr>
        <w:trPr>
          <w:trHeight w:val="169"/>
        </w:trPr>
        <w:tc>
          <w:tcPr>
            <w:tcW w:w="540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Options vested, or expected to vest at December 31, 2016</w:t>
            </w:r>
            <w:r>
              <w:rPr>
                <w:rFonts w:ascii="Arial" w:cs="Arial" w:eastAsia="Arial" w:hAnsi="Arial"/>
                <w:sz w:val="18"/>
                <w:szCs w:val="18"/>
                <w:color w:val="auto"/>
                <w:vertAlign w:val="superscript"/>
              </w:rPr>
              <w:t>(1)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5,412,474</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22,732</w:t>
            </w:r>
          </w:p>
        </w:tc>
        <w:tc>
          <w:tcPr>
            <w:tcW w:w="120" w:type="dxa"/>
            <w:vAlign w:val="bottom"/>
            <w:shd w:val="clear" w:color="auto" w:fill="CCEEFF"/>
          </w:tcPr>
          <w:p>
            <w:pPr>
              <w:spacing w:after="0"/>
              <w:rPr>
                <w:sz w:val="14"/>
                <w:szCs w:val="14"/>
                <w:color w:val="auto"/>
              </w:rPr>
            </w:pPr>
          </w:p>
        </w:tc>
      </w:tr>
      <w:tr>
        <w:trPr>
          <w:trHeight w:val="142"/>
        </w:trPr>
        <w:tc>
          <w:tcPr>
            <w:tcW w:w="540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exercisable at June 30, 2017 (unaudited)</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3,679,068</w:t>
            </w:r>
          </w:p>
        </w:tc>
        <w:tc>
          <w:tcPr>
            <w:tcW w:w="80" w:type="dxa"/>
            <w:vAlign w:val="bottom"/>
          </w:tcPr>
          <w:p>
            <w:pPr>
              <w:spacing w:after="0"/>
              <w:rPr>
                <w:sz w:val="12"/>
                <w:szCs w:val="12"/>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0.90</w:t>
            </w:r>
          </w:p>
        </w:tc>
        <w:tc>
          <w:tcPr>
            <w:tcW w:w="11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38,923</w:t>
            </w:r>
          </w:p>
        </w:tc>
        <w:tc>
          <w:tcPr>
            <w:tcW w:w="120" w:type="dxa"/>
            <w:vAlign w:val="bottom"/>
          </w:tcPr>
          <w:p>
            <w:pPr>
              <w:spacing w:after="0"/>
              <w:rPr>
                <w:sz w:val="12"/>
                <w:szCs w:val="12"/>
                <w:color w:val="auto"/>
              </w:rPr>
            </w:pPr>
          </w:p>
        </w:tc>
      </w:tr>
      <w:tr>
        <w:trPr>
          <w:trHeight w:val="72"/>
        </w:trPr>
        <w:tc>
          <w:tcPr>
            <w:tcW w:w="740" w:type="dxa"/>
            <w:vAlign w:val="bottom"/>
            <w:tcBorders>
              <w:bottom w:val="single" w:sz="8" w:color="auto"/>
            </w:tcBorders>
          </w:tcPr>
          <w:p>
            <w:pPr>
              <w:spacing w:after="0"/>
              <w:rPr>
                <w:sz w:val="6"/>
                <w:szCs w:val="6"/>
                <w:color w:val="auto"/>
              </w:rPr>
            </w:pPr>
          </w:p>
        </w:tc>
        <w:tc>
          <w:tcPr>
            <w:tcW w:w="4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47" w:lineRule="exact"/>
        <w:rPr>
          <w:sz w:val="20"/>
          <w:szCs w:val="20"/>
          <w:color w:val="auto"/>
        </w:rPr>
      </w:pPr>
    </w:p>
    <w:p>
      <w:pPr>
        <w:ind w:left="1500" w:right="100" w:hanging="360"/>
        <w:spacing w:after="0" w:line="232" w:lineRule="auto"/>
        <w:tabs>
          <w:tab w:leader="none" w:pos="15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This represents the number of vested options at December 31, 2016, plus the number of unvested options expected to vest at December 31, 2016, based on the unvested options outstanding at December 31, 2016, adjusted for the estimated forfeiture rate.</w:t>
      </w:r>
    </w:p>
    <w:p>
      <w:pPr>
        <w:spacing w:after="0" w:line="101" w:lineRule="exact"/>
        <w:rPr>
          <w:rFonts w:ascii="Arial" w:cs="Arial" w:eastAsia="Arial" w:hAnsi="Arial"/>
          <w:sz w:val="10"/>
          <w:szCs w:val="10"/>
          <w:color w:val="auto"/>
        </w:rPr>
      </w:pPr>
    </w:p>
    <w:p>
      <w:pPr>
        <w:ind w:left="1500" w:right="20" w:hanging="360"/>
        <w:spacing w:after="0" w:line="232" w:lineRule="auto"/>
        <w:tabs>
          <w:tab w:leader="none" w:pos="15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The aggregate intrinsic value was calculated based on the positive difference, if any, between the estimated fair value of our common stock on December 31, 2015 and 2016 and June 30, 2017, respectively, or the date of exercise, as appropriate, and the exercise price of the underlying options.</w:t>
      </w:r>
    </w:p>
    <w:p>
      <w:pPr>
        <w:spacing w:after="0" w:line="137" w:lineRule="exact"/>
        <w:rPr>
          <w:sz w:val="20"/>
          <w:szCs w:val="20"/>
          <w:color w:val="auto"/>
        </w:rPr>
      </w:pPr>
    </w:p>
    <w:p>
      <w:pPr>
        <w:ind w:firstLine="323"/>
        <w:spacing w:after="0" w:line="239" w:lineRule="auto"/>
        <w:rPr>
          <w:sz w:val="20"/>
          <w:szCs w:val="20"/>
          <w:color w:val="auto"/>
        </w:rPr>
      </w:pPr>
      <w:r>
        <w:rPr>
          <w:rFonts w:ascii="Arial" w:cs="Arial" w:eastAsia="Arial" w:hAnsi="Arial"/>
          <w:sz w:val="12"/>
          <w:szCs w:val="12"/>
          <w:color w:val="auto"/>
        </w:rPr>
        <w:t>The Company has entered into RSU agreements with certain of its employees pursuant to the 2015 Plan. The RSUs are subject to both a service-based vesting condition and a performance-based vesting condition based on a liquidity event, defined as either a change in control or an IPO.</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2" w:right="299" w:bottom="1440" w:gutter="0" w:footer="0" w:header="0"/>
        </w:sectPr>
      </w:pPr>
    </w:p>
    <w:bookmarkStart w:id="209" w:name="page210"/>
    <w:bookmarkEnd w:id="209"/>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 (Continued)</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Upon achievement of both the service-based vesting condition and the performance-based vesting condition achieved upon a liquidity event, the holder will receive two shares of the Company's Class A common stock and four shares of the Company's Class B common stock for each unit vested. Although the performance based vesting condition will be satisfied upon a liquidity event, under the terms of the awards, the settlement of such RSUs and the issuance of common stock with respect to such RSUs, will occur six months after the completion such event.</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7220" w:type="dxa"/>
            <w:vAlign w:val="bottom"/>
            <w:gridSpan w:val="2"/>
          </w:tcPr>
          <w:p>
            <w:pPr>
              <w:spacing w:after="0"/>
              <w:rPr>
                <w:sz w:val="20"/>
                <w:szCs w:val="20"/>
                <w:color w:val="auto"/>
              </w:rPr>
            </w:pPr>
            <w:r>
              <w:rPr>
                <w:rFonts w:ascii="Arial" w:cs="Arial" w:eastAsia="Arial" w:hAnsi="Arial"/>
                <w:sz w:val="12"/>
                <w:szCs w:val="12"/>
                <w:color w:val="auto"/>
              </w:rPr>
              <w:t>The following is a summary of the RSU activity during the year ended December 31, 2016, and the six months ended June 30, 2017:</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4"/>
        </w:trPr>
        <w:tc>
          <w:tcPr>
            <w:tcW w:w="8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01"/>
              <w:spacing w:after="0"/>
              <w:rPr>
                <w:sz w:val="20"/>
                <w:szCs w:val="20"/>
                <w:color w:val="auto"/>
              </w:rPr>
            </w:pPr>
            <w:r>
              <w:rPr>
                <w:rFonts w:ascii="Arial" w:cs="Arial" w:eastAsia="Arial" w:hAnsi="Arial"/>
                <w:sz w:val="12"/>
                <w:szCs w:val="12"/>
                <w:color w:val="auto"/>
              </w:rPr>
              <w:t>Weighted-</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97"/>
              </w:rPr>
              <w:t>Aggregate</w:t>
            </w:r>
          </w:p>
        </w:tc>
      </w:tr>
      <w:tr>
        <w:trPr>
          <w:trHeight w:val="140"/>
        </w:trPr>
        <w:tc>
          <w:tcPr>
            <w:tcW w:w="8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Number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Average Grant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6"/>
              </w:rPr>
              <w:t>Intrinsic</w:t>
            </w:r>
          </w:p>
        </w:tc>
      </w:tr>
      <w:tr>
        <w:trPr>
          <w:trHeight w:val="154"/>
        </w:trPr>
        <w:tc>
          <w:tcPr>
            <w:tcW w:w="8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93"/>
              </w:rPr>
              <w:t>Date Fair Value</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Value</w:t>
            </w:r>
          </w:p>
        </w:tc>
        <w:tc>
          <w:tcPr>
            <w:tcW w:w="120" w:type="dxa"/>
            <w:vAlign w:val="bottom"/>
          </w:tcPr>
          <w:p>
            <w:pPr>
              <w:spacing w:after="0"/>
              <w:rPr>
                <w:sz w:val="13"/>
                <w:szCs w:val="13"/>
                <w:color w:val="auto"/>
              </w:rPr>
            </w:pPr>
          </w:p>
        </w:tc>
      </w:tr>
      <w:tr>
        <w:trPr>
          <w:trHeight w:val="134"/>
        </w:trPr>
        <w:tc>
          <w:tcPr>
            <w:tcW w:w="820" w:type="dxa"/>
            <w:vAlign w:val="bottom"/>
          </w:tcPr>
          <w:p>
            <w:pPr>
              <w:spacing w:after="0"/>
              <w:rPr>
                <w:sz w:val="11"/>
                <w:szCs w:val="11"/>
                <w:color w:val="auto"/>
              </w:rPr>
            </w:pPr>
          </w:p>
        </w:tc>
        <w:tc>
          <w:tcPr>
            <w:tcW w:w="64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Outstanding, December 31, 2015</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553,986</w:t>
            </w: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2.05</w:t>
            </w:r>
          </w:p>
        </w:tc>
        <w:tc>
          <w:tcPr>
            <w:tcW w:w="2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1,768</w:t>
            </w:r>
          </w:p>
        </w:tc>
        <w:tc>
          <w:tcPr>
            <w:tcW w:w="120" w:type="dxa"/>
            <w:vAlign w:val="bottom"/>
            <w:shd w:val="clear" w:color="auto" w:fill="CCEEFF"/>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6400" w:type="dxa"/>
            <w:vAlign w:val="bottom"/>
          </w:tcPr>
          <w:p>
            <w:pPr>
              <w:ind w:left="120"/>
              <w:spacing w:after="0" w:line="135" w:lineRule="exact"/>
              <w:rPr>
                <w:sz w:val="20"/>
                <w:szCs w:val="20"/>
                <w:color w:val="auto"/>
              </w:rPr>
            </w:pPr>
            <w:r>
              <w:rPr>
                <w:rFonts w:ascii="Arial" w:cs="Arial" w:eastAsia="Arial" w:hAnsi="Arial"/>
                <w:sz w:val="12"/>
                <w:szCs w:val="12"/>
                <w:color w:val="auto"/>
              </w:rPr>
              <w:t>Granted</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1,038,408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3.89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4,035</w:t>
            </w:r>
          </w:p>
        </w:tc>
        <w:tc>
          <w:tcPr>
            <w:tcW w:w="12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Cancelled</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(12,300)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1"/>
                <w:szCs w:val="11"/>
                <w:color w:val="auto"/>
              </w:rPr>
            </w:pPr>
          </w:p>
        </w:tc>
      </w:tr>
      <w:tr>
        <w:trPr>
          <w:trHeight w:val="124"/>
        </w:trPr>
        <w:tc>
          <w:tcPr>
            <w:tcW w:w="7220" w:type="dxa"/>
            <w:vAlign w:val="bottom"/>
            <w:gridSpan w:val="2"/>
          </w:tcPr>
          <w:p>
            <w:pPr>
              <w:ind w:left="820"/>
              <w:spacing w:after="0" w:line="124" w:lineRule="exact"/>
              <w:rPr>
                <w:sz w:val="20"/>
                <w:szCs w:val="20"/>
                <w:color w:val="auto"/>
              </w:rPr>
            </w:pPr>
            <w:r>
              <w:rPr>
                <w:rFonts w:ascii="Arial" w:cs="Arial" w:eastAsia="Arial" w:hAnsi="Arial"/>
                <w:sz w:val="12"/>
                <w:szCs w:val="12"/>
                <w:color w:val="auto"/>
              </w:rPr>
              <w:t>Outstanding, December 31, 2016</w:t>
            </w: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1,580,094</w:t>
            </w:r>
          </w:p>
        </w:tc>
        <w:tc>
          <w:tcPr>
            <w:tcW w:w="60" w:type="dxa"/>
            <w:vAlign w:val="bottom"/>
          </w:tcPr>
          <w:p>
            <w:pPr>
              <w:spacing w:after="0"/>
              <w:rPr>
                <w:sz w:val="10"/>
                <w:szCs w:val="10"/>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24" w:lineRule="exact"/>
              <w:rPr>
                <w:sz w:val="20"/>
                <w:szCs w:val="20"/>
                <w:color w:val="auto"/>
              </w:rPr>
            </w:pPr>
            <w:r>
              <w:rPr>
                <w:rFonts w:ascii="Arial" w:cs="Arial" w:eastAsia="Arial" w:hAnsi="Arial"/>
                <w:sz w:val="12"/>
                <w:szCs w:val="12"/>
                <w:color w:val="auto"/>
              </w:rPr>
              <w:t>3.25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2"/>
                <w:szCs w:val="12"/>
                <w:color w:val="auto"/>
              </w:rPr>
              <w:t>8,754</w:t>
            </w:r>
          </w:p>
        </w:tc>
        <w:tc>
          <w:tcPr>
            <w:tcW w:w="120" w:type="dxa"/>
            <w:vAlign w:val="bottom"/>
          </w:tcPr>
          <w:p>
            <w:pPr>
              <w:spacing w:after="0"/>
              <w:rPr>
                <w:sz w:val="10"/>
                <w:szCs w:val="10"/>
                <w:color w:val="auto"/>
              </w:rPr>
            </w:pPr>
          </w:p>
        </w:tc>
      </w:tr>
      <w:tr>
        <w:trPr>
          <w:trHeight w:val="135"/>
        </w:trPr>
        <w:tc>
          <w:tcPr>
            <w:tcW w:w="820" w:type="dxa"/>
            <w:vAlign w:val="bottom"/>
          </w:tcPr>
          <w:p>
            <w:pPr>
              <w:spacing w:after="0"/>
              <w:rPr>
                <w:sz w:val="11"/>
                <w:szCs w:val="11"/>
                <w:color w:val="auto"/>
              </w:rPr>
            </w:pPr>
          </w:p>
        </w:tc>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Granted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848,634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5,309</w:t>
            </w:r>
          </w:p>
        </w:tc>
        <w:tc>
          <w:tcPr>
            <w:tcW w:w="120" w:type="dxa"/>
            <w:vAlign w:val="bottom"/>
            <w:shd w:val="clear" w:color="auto" w:fill="CCEEFF"/>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6400" w:type="dxa"/>
            <w:vAlign w:val="bottom"/>
          </w:tcPr>
          <w:p>
            <w:pPr>
              <w:ind w:left="120"/>
              <w:spacing w:after="0" w:line="135" w:lineRule="exact"/>
              <w:rPr>
                <w:sz w:val="20"/>
                <w:szCs w:val="20"/>
                <w:color w:val="auto"/>
              </w:rPr>
            </w:pPr>
            <w:r>
              <w:rPr>
                <w:rFonts w:ascii="Arial" w:cs="Arial" w:eastAsia="Arial" w:hAnsi="Arial"/>
                <w:sz w:val="12"/>
                <w:szCs w:val="12"/>
                <w:color w:val="auto"/>
              </w:rPr>
              <w:t>Cancelled (unaudited)</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(58,926)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4.44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261</w:t>
            </w:r>
          </w:p>
        </w:tc>
        <w:tc>
          <w:tcPr>
            <w:tcW w:w="120" w:type="dxa"/>
            <w:vAlign w:val="bottom"/>
          </w:tcPr>
          <w:p>
            <w:pPr>
              <w:spacing w:after="0"/>
              <w:rPr>
                <w:sz w:val="11"/>
                <w:szCs w:val="11"/>
                <w:color w:val="auto"/>
              </w:rPr>
            </w:pPr>
          </w:p>
        </w:tc>
      </w:tr>
      <w:tr>
        <w:trPr>
          <w:trHeight w:val="131"/>
        </w:trPr>
        <w:tc>
          <w:tcPr>
            <w:tcW w:w="820" w:type="dxa"/>
            <w:vAlign w:val="bottom"/>
          </w:tcPr>
          <w:p>
            <w:pPr>
              <w:spacing w:after="0"/>
              <w:rPr>
                <w:sz w:val="11"/>
                <w:szCs w:val="11"/>
                <w:color w:val="auto"/>
              </w:rPr>
            </w:pPr>
          </w:p>
        </w:tc>
        <w:tc>
          <w:tcPr>
            <w:tcW w:w="64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Outstanding, June 30, 2017 (unaudited)</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2,369,802</w:t>
            </w: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27,205</w:t>
            </w:r>
          </w:p>
        </w:tc>
        <w:tc>
          <w:tcPr>
            <w:tcW w:w="120" w:type="dxa"/>
            <w:vAlign w:val="bottom"/>
            <w:shd w:val="clear" w:color="auto" w:fill="CCEEFF"/>
          </w:tcPr>
          <w:p>
            <w:pPr>
              <w:spacing w:after="0"/>
              <w:rPr>
                <w:sz w:val="11"/>
                <w:szCs w:val="11"/>
                <w:color w:val="auto"/>
              </w:rPr>
            </w:pPr>
          </w:p>
        </w:tc>
      </w:tr>
    </w:tbl>
    <w:p>
      <w:pPr>
        <w:spacing w:after="0" w:line="146" w:lineRule="exact"/>
        <w:rPr>
          <w:sz w:val="20"/>
          <w:szCs w:val="20"/>
          <w:color w:val="auto"/>
        </w:rPr>
      </w:pPr>
    </w:p>
    <w:p>
      <w:pPr>
        <w:ind w:right="100" w:firstLine="326"/>
        <w:spacing w:after="0" w:line="239" w:lineRule="auto"/>
        <w:rPr>
          <w:sz w:val="20"/>
          <w:szCs w:val="20"/>
          <w:color w:val="auto"/>
        </w:rPr>
      </w:pPr>
      <w:r>
        <w:rPr>
          <w:rFonts w:ascii="Arial" w:cs="Arial" w:eastAsia="Arial" w:hAnsi="Arial"/>
          <w:sz w:val="12"/>
          <w:szCs w:val="12"/>
          <w:color w:val="auto"/>
        </w:rPr>
        <w:t>For the years ended December 31, 2015 and 2016, and the six months ended June 30, 2016 and 2017, total stock-based compensation expense was $1,040, $322, $148 and $150, respectively. Total stock-based compensation expense was allocated as follows: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5"/>
          </w:tcPr>
          <w:p>
            <w:pPr>
              <w:ind w:left="260"/>
              <w:spacing w:after="0"/>
              <w:rPr>
                <w:sz w:val="20"/>
                <w:szCs w:val="20"/>
                <w:color w:val="auto"/>
              </w:rPr>
            </w:pPr>
            <w:r>
              <w:rPr>
                <w:rFonts w:ascii="Arial" w:cs="Arial" w:eastAsia="Arial" w:hAnsi="Arial"/>
                <w:sz w:val="12"/>
                <w:szCs w:val="12"/>
                <w:color w:val="auto"/>
              </w:rPr>
              <w:t>Six Months</w:t>
            </w:r>
          </w:p>
        </w:tc>
      </w:tr>
      <w:tr>
        <w:trPr>
          <w:trHeight w:val="140"/>
        </w:trPr>
        <w:tc>
          <w:tcPr>
            <w:tcW w:w="4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21"/>
              <w:spacing w:after="0"/>
              <w:rPr>
                <w:sz w:val="20"/>
                <w:szCs w:val="20"/>
                <w:color w:val="auto"/>
              </w:rPr>
            </w:pPr>
            <w:r>
              <w:rPr>
                <w:rFonts w:ascii="Arial" w:cs="Arial" w:eastAsia="Arial" w:hAnsi="Arial"/>
                <w:sz w:val="12"/>
                <w:szCs w:val="12"/>
                <w:color w:val="auto"/>
              </w:rPr>
              <w:t>Year Ended</w:t>
            </w:r>
          </w:p>
        </w:tc>
        <w:tc>
          <w:tcPr>
            <w:tcW w:w="180" w:type="dxa"/>
            <w:vAlign w:val="bottom"/>
          </w:tcPr>
          <w:p>
            <w:pPr>
              <w:spacing w:after="0"/>
              <w:rPr>
                <w:sz w:val="12"/>
                <w:szCs w:val="1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2"/>
                <w:szCs w:val="12"/>
                <w:color w:val="auto"/>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201"/>
              <w:spacing w:after="0"/>
              <w:rPr>
                <w:sz w:val="20"/>
                <w:szCs w:val="20"/>
                <w:color w:val="auto"/>
              </w:rPr>
            </w:pPr>
            <w:r>
              <w:rPr>
                <w:rFonts w:ascii="Arial" w:cs="Arial" w:eastAsia="Arial" w:hAnsi="Arial"/>
                <w:sz w:val="12"/>
                <w:szCs w:val="12"/>
                <w:color w:val="auto"/>
              </w:rPr>
              <w:t>December 31,</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6"/>
              </w:rPr>
              <w:t>June 30,</w:t>
            </w:r>
          </w:p>
        </w:tc>
        <w:tc>
          <w:tcPr>
            <w:tcW w:w="860" w:type="dxa"/>
            <w:vAlign w:val="bottom"/>
            <w:gridSpan w:val="4"/>
          </w:tcPr>
          <w:p>
            <w:pPr>
              <w:ind w:left="100"/>
              <w:spacing w:after="0"/>
              <w:rPr>
                <w:sz w:val="20"/>
                <w:szCs w:val="20"/>
                <w:color w:val="auto"/>
              </w:rPr>
            </w:pPr>
            <w:r>
              <w:rPr>
                <w:rFonts w:ascii="Arial" w:cs="Arial" w:eastAsia="Arial" w:hAnsi="Arial"/>
                <w:sz w:val="12"/>
                <w:szCs w:val="12"/>
                <w:color w:val="auto"/>
              </w:rPr>
              <w:t>(unaudited)</w:t>
            </w:r>
          </w:p>
        </w:tc>
      </w:tr>
      <w:tr>
        <w:trPr>
          <w:trHeight w:val="160"/>
        </w:trPr>
        <w:tc>
          <w:tcPr>
            <w:tcW w:w="4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2015</w:t>
            </w: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w w:val="89"/>
              </w:rPr>
              <w:t>2016</w:t>
            </w: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2017</w:t>
            </w:r>
          </w:p>
        </w:tc>
        <w:tc>
          <w:tcPr>
            <w:tcW w:w="120" w:type="dxa"/>
            <w:vAlign w:val="bottom"/>
          </w:tcPr>
          <w:p>
            <w:pPr>
              <w:spacing w:after="0"/>
              <w:rPr>
                <w:sz w:val="13"/>
                <w:szCs w:val="13"/>
                <w:color w:val="auto"/>
              </w:rPr>
            </w:pPr>
          </w:p>
        </w:tc>
      </w:tr>
      <w:tr>
        <w:trPr>
          <w:trHeight w:val="134"/>
        </w:trPr>
        <w:tc>
          <w:tcPr>
            <w:tcW w:w="4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Cost of revenue</w:t>
            </w:r>
          </w:p>
        </w:tc>
        <w:tc>
          <w:tcPr>
            <w:tcW w:w="21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w:t>
            </w:r>
          </w:p>
        </w:tc>
        <w:tc>
          <w:tcPr>
            <w:tcW w:w="22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w:t>
            </w:r>
          </w:p>
        </w:tc>
        <w:tc>
          <w:tcPr>
            <w:tcW w:w="18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w:t>
            </w:r>
          </w:p>
        </w:tc>
        <w:tc>
          <w:tcPr>
            <w:tcW w:w="3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Arial" w:cs="Arial" w:eastAsia="Arial" w:hAnsi="Arial"/>
                <w:sz w:val="12"/>
                <w:szCs w:val="12"/>
                <w:color w:val="auto"/>
              </w:rPr>
              <w:t>Sales and marketing expense</w:t>
            </w: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67</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163</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73</w:t>
            </w:r>
          </w:p>
        </w:tc>
        <w:tc>
          <w:tcPr>
            <w:tcW w:w="120" w:type="dxa"/>
            <w:vAlign w:val="bottom"/>
          </w:tcPr>
          <w:p>
            <w:pPr>
              <w:spacing w:after="0"/>
              <w:rPr>
                <w:sz w:val="11"/>
                <w:szCs w:val="11"/>
                <w:color w:val="auto"/>
              </w:rPr>
            </w:pPr>
          </w:p>
        </w:tc>
      </w:tr>
      <w:tr>
        <w:trPr>
          <w:trHeight w:val="135"/>
        </w:trPr>
        <w:tc>
          <w:tcPr>
            <w:tcW w:w="4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Product, technology, and development expense</w:t>
            </w:r>
          </w:p>
        </w:tc>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883</w:t>
            </w:r>
          </w:p>
        </w:tc>
        <w:tc>
          <w:tcPr>
            <w:tcW w:w="22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w:t>
            </w:r>
          </w:p>
        </w:tc>
        <w:tc>
          <w:tcPr>
            <w:tcW w:w="1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Arial" w:cs="Arial" w:eastAsia="Arial" w:hAnsi="Arial"/>
                <w:sz w:val="12"/>
                <w:szCs w:val="12"/>
                <w:color w:val="auto"/>
              </w:rPr>
              <w:t>General and administrative expense</w:t>
            </w:r>
          </w:p>
        </w:tc>
        <w:tc>
          <w:tcPr>
            <w:tcW w:w="2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86</w:t>
            </w:r>
          </w:p>
        </w:tc>
        <w:tc>
          <w:tcPr>
            <w:tcW w:w="22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37</w:t>
            </w:r>
          </w:p>
        </w:tc>
        <w:tc>
          <w:tcPr>
            <w:tcW w:w="18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w:t>
            </w:r>
          </w:p>
        </w:tc>
        <w:tc>
          <w:tcPr>
            <w:tcW w:w="120" w:type="dxa"/>
            <w:vAlign w:val="bottom"/>
          </w:tcPr>
          <w:p>
            <w:pPr>
              <w:spacing w:after="0"/>
              <w:rPr>
                <w:sz w:val="11"/>
                <w:szCs w:val="11"/>
                <w:color w:val="auto"/>
              </w:rPr>
            </w:pPr>
          </w:p>
        </w:tc>
      </w:tr>
      <w:tr>
        <w:trPr>
          <w:trHeight w:val="133"/>
        </w:trPr>
        <w:tc>
          <w:tcPr>
            <w:tcW w:w="45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1,040</w:t>
            </w:r>
          </w:p>
        </w:tc>
        <w:tc>
          <w:tcPr>
            <w:tcW w:w="22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322</w:t>
            </w:r>
          </w:p>
        </w:tc>
        <w:tc>
          <w:tcPr>
            <w:tcW w:w="18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148</w:t>
            </w:r>
          </w:p>
        </w:tc>
        <w:tc>
          <w:tcPr>
            <w:tcW w:w="3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1"/>
                <w:szCs w:val="1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right="20" w:firstLine="319"/>
        <w:spacing w:after="0" w:line="239" w:lineRule="auto"/>
        <w:rPr>
          <w:sz w:val="20"/>
          <w:szCs w:val="20"/>
          <w:color w:val="auto"/>
        </w:rPr>
      </w:pPr>
      <w:r>
        <w:rPr>
          <w:rFonts w:ascii="Arial" w:cs="Arial" w:eastAsia="Arial" w:hAnsi="Arial"/>
          <w:sz w:val="12"/>
          <w:szCs w:val="12"/>
          <w:color w:val="auto"/>
        </w:rPr>
        <w:t>As of December 31, 2016 and June 30, 2017, there was approximately $828 and $627, respectively, of unrecognized stock-based compensation expense, related to unvested stock-based awards subject to service-based vesting conditions, which is expected to be recognized over a weighted-average period of 2.9 and 2.3 years, respectively.</w:t>
      </w:r>
    </w:p>
    <w:p>
      <w:pPr>
        <w:spacing w:after="0" w:line="139" w:lineRule="exact"/>
        <w:rPr>
          <w:sz w:val="20"/>
          <w:szCs w:val="20"/>
          <w:color w:val="auto"/>
        </w:rPr>
      </w:pPr>
    </w:p>
    <w:p>
      <w:pPr>
        <w:ind w:right="300" w:firstLine="319"/>
        <w:spacing w:after="0" w:line="239" w:lineRule="auto"/>
        <w:rPr>
          <w:sz w:val="20"/>
          <w:szCs w:val="20"/>
          <w:color w:val="auto"/>
        </w:rPr>
      </w:pPr>
      <w:r>
        <w:rPr>
          <w:rFonts w:ascii="Arial" w:cs="Arial" w:eastAsia="Arial" w:hAnsi="Arial"/>
          <w:sz w:val="12"/>
          <w:szCs w:val="12"/>
          <w:color w:val="auto"/>
        </w:rPr>
        <w:t>As of December 31, 2016 and June 30, 2017, there was approximately $5,129 and $10,165, respectively, of unrecognized stock-based compensation, related to unvested stock-based awards, subject to both a service-based vesting condition and a performance-based vesting condition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2" w:right="2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38"/>
        </w:trPr>
        <w:tc>
          <w:tcPr>
            <w:tcW w:w="8980" w:type="dxa"/>
            <w:vAlign w:val="bottom"/>
            <w:gridSpan w:val="3"/>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Table of Contents</w:t>
              </w:r>
            </w:hyperlink>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19"/>
        </w:trPr>
        <w:tc>
          <w:tcPr>
            <w:tcW w:w="90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60" w:type="dxa"/>
            <w:vAlign w:val="bottom"/>
          </w:tcPr>
          <w:p>
            <w:pPr>
              <w:jc w:val="center"/>
              <w:ind w:left="721"/>
              <w:spacing w:after="0"/>
              <w:rPr>
                <w:sz w:val="20"/>
                <w:szCs w:val="20"/>
                <w:color w:val="auto"/>
              </w:rPr>
            </w:pPr>
            <w:r>
              <w:rPr>
                <w:rFonts w:ascii="Arial" w:cs="Arial" w:eastAsia="Arial" w:hAnsi="Arial"/>
                <w:sz w:val="12"/>
                <w:szCs w:val="12"/>
                <w:b w:val="1"/>
                <w:bCs w:val="1"/>
                <w:color w:val="auto"/>
                <w:w w:val="96"/>
              </w:rPr>
              <w:t>CarGurus, Inc.</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60" w:type="dxa"/>
            <w:vAlign w:val="bottom"/>
          </w:tcPr>
          <w:p>
            <w:pPr>
              <w:jc w:val="center"/>
              <w:ind w:left="701"/>
              <w:spacing w:after="0"/>
              <w:rPr>
                <w:sz w:val="20"/>
                <w:szCs w:val="20"/>
                <w:color w:val="auto"/>
              </w:rPr>
            </w:pPr>
            <w:r>
              <w:rPr>
                <w:rFonts w:ascii="Arial" w:cs="Arial" w:eastAsia="Arial" w:hAnsi="Arial"/>
                <w:sz w:val="12"/>
                <w:szCs w:val="12"/>
                <w:b w:val="1"/>
                <w:bCs w:val="1"/>
                <w:color w:val="auto"/>
                <w:w w:val="97"/>
              </w:rPr>
              <w:t>Notes to Consolidated Financial Statements (Continued)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8980" w:type="dxa"/>
            <w:vAlign w:val="bottom"/>
            <w:gridSpan w:val="3"/>
          </w:tcPr>
          <w:p>
            <w:pPr>
              <w:spacing w:after="0"/>
              <w:rPr>
                <w:sz w:val="20"/>
                <w:szCs w:val="20"/>
                <w:color w:val="auto"/>
              </w:rPr>
            </w:pPr>
            <w:r>
              <w:rPr>
                <w:rFonts w:ascii="Arial" w:cs="Arial" w:eastAsia="Arial" w:hAnsi="Arial"/>
                <w:sz w:val="12"/>
                <w:szCs w:val="12"/>
                <w:b w:val="1"/>
                <w:bCs w:val="1"/>
                <w:color w:val="auto"/>
              </w:rPr>
              <w:t>6. Stock-based Compensation (Continued)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8980" w:type="dxa"/>
            <w:vAlign w:val="bottom"/>
            <w:gridSpan w:val="3"/>
          </w:tcPr>
          <w:p>
            <w:pPr>
              <w:spacing w:after="0"/>
              <w:rPr>
                <w:sz w:val="20"/>
                <w:szCs w:val="20"/>
                <w:color w:val="auto"/>
              </w:rPr>
            </w:pPr>
            <w:r>
              <w:rPr>
                <w:rFonts w:ascii="Arial" w:cs="Arial" w:eastAsia="Arial" w:hAnsi="Arial"/>
                <w:sz w:val="12"/>
                <w:szCs w:val="12"/>
                <w:color w:val="auto"/>
              </w:rPr>
              <w:t>achieved upon a liquidity event. The weighted-average recognition period is not determinable until the time a liquidity event is considered probable of occurring.</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898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Common Stock Reserved for Future Issuance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8980" w:type="dxa"/>
            <w:vAlign w:val="bottom"/>
            <w:gridSpan w:val="3"/>
          </w:tcPr>
          <w:p>
            <w:pPr>
              <w:ind w:left="320"/>
              <w:spacing w:after="0"/>
              <w:rPr>
                <w:sz w:val="20"/>
                <w:szCs w:val="20"/>
                <w:color w:val="auto"/>
              </w:rPr>
            </w:pPr>
            <w:r>
              <w:rPr>
                <w:rFonts w:ascii="Arial" w:cs="Arial" w:eastAsia="Arial" w:hAnsi="Arial"/>
                <w:sz w:val="12"/>
                <w:szCs w:val="12"/>
                <w:color w:val="auto"/>
              </w:rPr>
              <w:t>At December 31, 2016, the Company had reserved the following shares of voting common stock for future issuance: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7"/>
        </w:trPr>
        <w:tc>
          <w:tcPr>
            <w:tcW w:w="900" w:type="dxa"/>
            <w:vAlign w:val="bottom"/>
          </w:tcPr>
          <w:p>
            <w:pPr>
              <w:spacing w:after="0"/>
              <w:rPr>
                <w:sz w:val="11"/>
                <w:szCs w:val="11"/>
                <w:color w:val="auto"/>
              </w:rPr>
            </w:pPr>
          </w:p>
        </w:tc>
        <w:tc>
          <w:tcPr>
            <w:tcW w:w="808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Common stock options outstanding</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5,698,812</w:t>
            </w:r>
          </w:p>
        </w:tc>
        <w:tc>
          <w:tcPr>
            <w:tcW w:w="120" w:type="dxa"/>
            <w:vAlign w:val="bottom"/>
            <w:shd w:val="clear" w:color="auto" w:fill="CCEEFF"/>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808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Restricted stock units outstanding</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1,580,094</w:t>
            </w:r>
          </w:p>
        </w:tc>
        <w:tc>
          <w:tcPr>
            <w:tcW w:w="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available for issuance under the 2015 Plan</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1,158,048</w:t>
            </w:r>
          </w:p>
        </w:tc>
        <w:tc>
          <w:tcPr>
            <w:tcW w:w="120" w:type="dxa"/>
            <w:vAlign w:val="bottom"/>
            <w:shd w:val="clear" w:color="auto" w:fill="CCEEFF"/>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8080" w:type="dxa"/>
            <w:vAlign w:val="bottom"/>
            <w:gridSpan w:val="2"/>
          </w:tcPr>
          <w:p>
            <w:pPr>
              <w:ind w:left="820"/>
              <w:spacing w:after="0" w:line="135" w:lineRule="exact"/>
              <w:rPr>
                <w:sz w:val="20"/>
                <w:szCs w:val="20"/>
                <w:color w:val="auto"/>
              </w:rPr>
            </w:pPr>
            <w:r>
              <w:rPr>
                <w:rFonts w:ascii="Arial" w:cs="Arial" w:eastAsia="Arial" w:hAnsi="Arial"/>
                <w:sz w:val="12"/>
                <w:szCs w:val="12"/>
                <w:color w:val="auto"/>
              </w:rPr>
              <w:t>Preferred Stock outstanding</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60,564,678</w:t>
            </w:r>
          </w:p>
        </w:tc>
        <w:tc>
          <w:tcPr>
            <w:tcW w:w="120" w:type="dxa"/>
            <w:vAlign w:val="bottom"/>
          </w:tcPr>
          <w:p>
            <w:pPr>
              <w:spacing w:after="0"/>
              <w:rPr>
                <w:sz w:val="11"/>
                <w:szCs w:val="11"/>
                <w:color w:val="auto"/>
              </w:rPr>
            </w:pPr>
          </w:p>
        </w:tc>
      </w:tr>
      <w:tr>
        <w:trPr>
          <w:trHeight w:val="131"/>
        </w:trPr>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shares of authorized common stock reserved for future issuance</w:t>
            </w:r>
          </w:p>
        </w:tc>
        <w:tc>
          <w:tcPr>
            <w:tcW w:w="6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69,001,632</w:t>
            </w:r>
          </w:p>
        </w:tc>
        <w:tc>
          <w:tcPr>
            <w:tcW w:w="120" w:type="dxa"/>
            <w:vAlign w:val="bottom"/>
            <w:shd w:val="clear" w:color="auto" w:fill="CCEEFF"/>
          </w:tcPr>
          <w:p>
            <w:pPr>
              <w:spacing w:after="0"/>
              <w:rPr>
                <w:sz w:val="11"/>
                <w:szCs w:val="1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Income Taxes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domestic and foreign components of (loss) income before income taxes are as follows:</w:t>
      </w:r>
    </w:p>
    <w:p>
      <w:pPr>
        <w:spacing w:after="0" w:line="141" w:lineRule="exact"/>
        <w:rPr>
          <w:sz w:val="20"/>
          <w:szCs w:val="20"/>
          <w:color w:val="auto"/>
        </w:rPr>
      </w:pPr>
    </w:p>
    <w:p>
      <w:pPr>
        <w:ind w:left="8640"/>
        <w:spacing w:after="0"/>
        <w:rPr>
          <w:sz w:val="20"/>
          <w:szCs w:val="20"/>
          <w:color w:val="auto"/>
        </w:rPr>
      </w:pPr>
      <w:r>
        <w:rPr>
          <w:rFonts w:ascii="Arial" w:cs="Arial" w:eastAsia="Arial" w:hAnsi="Arial"/>
          <w:sz w:val="12"/>
          <w:szCs w:val="12"/>
          <w:color w:val="auto"/>
        </w:rPr>
        <w:t>Year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8"/>
          </w:tcPr>
          <w:p>
            <w:pPr>
              <w:ind w:left="200"/>
              <w:spacing w:after="0"/>
              <w:rPr>
                <w:sz w:val="20"/>
                <w:szCs w:val="20"/>
                <w:color w:val="auto"/>
              </w:rPr>
            </w:pPr>
            <w:r>
              <w:rPr>
                <w:rFonts w:ascii="Arial" w:cs="Arial" w:eastAsia="Arial" w:hAnsi="Arial"/>
                <w:sz w:val="12"/>
                <w:szCs w:val="12"/>
                <w:color w:val="auto"/>
              </w:rPr>
              <w:t>December 31,</w:t>
            </w:r>
          </w:p>
        </w:tc>
      </w:tr>
      <w:tr>
        <w:trPr>
          <w:trHeight w:val="160"/>
        </w:trPr>
        <w:tc>
          <w:tcPr>
            <w:tcW w:w="17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color w:val="auto"/>
              </w:rPr>
              <w:t>2015</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4"/>
        </w:trPr>
        <w:tc>
          <w:tcPr>
            <w:tcW w:w="1720" w:type="dxa"/>
            <w:vAlign w:val="bottom"/>
          </w:tcPr>
          <w:p>
            <w:pPr>
              <w:spacing w:after="0"/>
              <w:rPr>
                <w:sz w:val="11"/>
                <w:szCs w:val="11"/>
                <w:color w:val="auto"/>
              </w:rPr>
            </w:pPr>
          </w:p>
        </w:tc>
        <w:tc>
          <w:tcPr>
            <w:tcW w:w="336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United States</w:t>
            </w:r>
          </w:p>
        </w:tc>
        <w:tc>
          <w:tcPr>
            <w:tcW w:w="32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(2,540)</w:t>
            </w:r>
          </w:p>
        </w:tc>
        <w:tc>
          <w:tcPr>
            <w:tcW w:w="1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8,919</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tcPr>
          <w:p>
            <w:pPr>
              <w:ind w:left="120"/>
              <w:spacing w:after="0" w:line="135" w:lineRule="exact"/>
              <w:rPr>
                <w:sz w:val="20"/>
                <w:szCs w:val="20"/>
                <w:color w:val="auto"/>
              </w:rPr>
            </w:pPr>
            <w:r>
              <w:rPr>
                <w:rFonts w:ascii="Arial" w:cs="Arial" w:eastAsia="Arial" w:hAnsi="Arial"/>
                <w:sz w:val="12"/>
                <w:szCs w:val="12"/>
                <w:color w:val="auto"/>
              </w:rPr>
              <w:t>Foreign</w:t>
            </w: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1"/>
        </w:trPr>
        <w:tc>
          <w:tcPr>
            <w:tcW w:w="1720" w:type="dxa"/>
            <w:vAlign w:val="bottom"/>
          </w:tcPr>
          <w:p>
            <w:pPr>
              <w:spacing w:after="0"/>
              <w:rPr>
                <w:sz w:val="11"/>
                <w:szCs w:val="11"/>
                <w:color w:val="auto"/>
              </w:rPr>
            </w:pPr>
          </w:p>
        </w:tc>
        <w:tc>
          <w:tcPr>
            <w:tcW w:w="33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(Loss) income before income taxes</w:t>
            </w:r>
          </w:p>
        </w:tc>
        <w:tc>
          <w:tcPr>
            <w:tcW w:w="32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(2,540)</w:t>
            </w:r>
          </w:p>
        </w:tc>
        <w:tc>
          <w:tcPr>
            <w:tcW w:w="1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8,945</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286"/>
        </w:trPr>
        <w:tc>
          <w:tcPr>
            <w:tcW w:w="5080" w:type="dxa"/>
            <w:vAlign w:val="bottom"/>
            <w:gridSpan w:val="2"/>
          </w:tcPr>
          <w:p>
            <w:pPr>
              <w:ind w:left="320"/>
              <w:spacing w:after="0"/>
              <w:rPr>
                <w:sz w:val="20"/>
                <w:szCs w:val="20"/>
                <w:color w:val="auto"/>
              </w:rPr>
            </w:pPr>
            <w:r>
              <w:rPr>
                <w:rFonts w:ascii="Arial" w:cs="Arial" w:eastAsia="Arial" w:hAnsi="Arial"/>
                <w:sz w:val="12"/>
                <w:szCs w:val="12"/>
                <w:color w:val="auto"/>
              </w:rPr>
              <w:t>The (benefit from) provision for income taxes contained the following components:</w:t>
            </w:r>
          </w:p>
        </w:tc>
        <w:tc>
          <w:tcPr>
            <w:tcW w:w="3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9"/>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8"/>
          </w:tcPr>
          <w:p>
            <w:pPr>
              <w:ind w:left="300"/>
              <w:spacing w:after="0"/>
              <w:rPr>
                <w:sz w:val="20"/>
                <w:szCs w:val="20"/>
                <w:color w:val="auto"/>
              </w:rPr>
            </w:pPr>
            <w:r>
              <w:rPr>
                <w:rFonts w:ascii="Arial" w:cs="Arial" w:eastAsia="Arial" w:hAnsi="Arial"/>
                <w:sz w:val="12"/>
                <w:szCs w:val="12"/>
                <w:color w:val="auto"/>
              </w:rPr>
              <w:t>Year Ended</w:t>
            </w:r>
          </w:p>
        </w:tc>
      </w:tr>
      <w:tr>
        <w:trPr>
          <w:trHeight w:val="154"/>
        </w:trPr>
        <w:tc>
          <w:tcPr>
            <w:tcW w:w="17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8"/>
          </w:tcPr>
          <w:p>
            <w:pPr>
              <w:ind w:left="200"/>
              <w:spacing w:after="0"/>
              <w:rPr>
                <w:sz w:val="20"/>
                <w:szCs w:val="20"/>
                <w:color w:val="auto"/>
              </w:rPr>
            </w:pPr>
            <w:r>
              <w:rPr>
                <w:rFonts w:ascii="Arial" w:cs="Arial" w:eastAsia="Arial" w:hAnsi="Arial"/>
                <w:sz w:val="12"/>
                <w:szCs w:val="12"/>
                <w:color w:val="auto"/>
              </w:rPr>
              <w:t>December 31,</w:t>
            </w:r>
          </w:p>
        </w:tc>
      </w:tr>
      <w:tr>
        <w:trPr>
          <w:trHeight w:val="160"/>
        </w:trPr>
        <w:tc>
          <w:tcPr>
            <w:tcW w:w="17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rPr>
              <w:t>2015</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4"/>
        </w:trPr>
        <w:tc>
          <w:tcPr>
            <w:tcW w:w="17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 provision:</w:t>
            </w:r>
          </w:p>
        </w:tc>
        <w:tc>
          <w:tcPr>
            <w:tcW w:w="3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tcPr>
          <w:p>
            <w:pPr>
              <w:ind w:left="120"/>
              <w:spacing w:after="0" w:line="135" w:lineRule="exact"/>
              <w:rPr>
                <w:sz w:val="20"/>
                <w:szCs w:val="20"/>
                <w:color w:val="auto"/>
              </w:rPr>
            </w:pPr>
            <w:r>
              <w:rPr>
                <w:rFonts w:ascii="Arial" w:cs="Arial" w:eastAsia="Arial" w:hAnsi="Arial"/>
                <w:sz w:val="12"/>
                <w:szCs w:val="12"/>
                <w:color w:val="auto"/>
              </w:rPr>
              <w:t>Federal</w:t>
            </w:r>
          </w:p>
        </w:tc>
        <w:tc>
          <w:tcPr>
            <w:tcW w:w="32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(276)</w:t>
            </w:r>
          </w:p>
        </w:tc>
        <w:tc>
          <w:tcPr>
            <w:tcW w:w="40" w:type="dxa"/>
            <w:vAlign w:val="bottom"/>
          </w:tcPr>
          <w:p>
            <w:pPr>
              <w:spacing w:after="0"/>
              <w:rPr>
                <w:sz w:val="11"/>
                <w:szCs w:val="11"/>
                <w:color w:val="auto"/>
              </w:rPr>
            </w:pPr>
          </w:p>
        </w:tc>
        <w:tc>
          <w:tcPr>
            <w:tcW w:w="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1,440</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State</w:t>
            </w:r>
          </w:p>
        </w:tc>
        <w:tc>
          <w:tcPr>
            <w:tcW w:w="3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tcPr>
          <w:p>
            <w:pPr>
              <w:ind w:left="120"/>
              <w:spacing w:after="0" w:line="135" w:lineRule="exact"/>
              <w:rPr>
                <w:sz w:val="20"/>
                <w:szCs w:val="20"/>
                <w:color w:val="auto"/>
              </w:rPr>
            </w:pPr>
            <w:r>
              <w:rPr>
                <w:rFonts w:ascii="Arial" w:cs="Arial" w:eastAsia="Arial" w:hAnsi="Arial"/>
                <w:sz w:val="12"/>
                <w:szCs w:val="12"/>
                <w:color w:val="auto"/>
              </w:rPr>
              <w:t>Foreign</w:t>
            </w: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3"/>
        </w:trPr>
        <w:tc>
          <w:tcPr>
            <w:tcW w:w="1720" w:type="dxa"/>
            <w:vAlign w:val="bottom"/>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(255)</w:t>
            </w:r>
          </w:p>
        </w:tc>
        <w:tc>
          <w:tcPr>
            <w:tcW w:w="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1,666</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124"/>
        </w:trPr>
        <w:tc>
          <w:tcPr>
            <w:tcW w:w="5080" w:type="dxa"/>
            <w:vAlign w:val="bottom"/>
            <w:gridSpan w:val="2"/>
          </w:tcPr>
          <w:p>
            <w:pPr>
              <w:ind w:left="1720"/>
              <w:spacing w:after="0" w:line="124" w:lineRule="exact"/>
              <w:rPr>
                <w:sz w:val="20"/>
                <w:szCs w:val="20"/>
                <w:color w:val="auto"/>
              </w:rPr>
            </w:pPr>
            <w:r>
              <w:rPr>
                <w:rFonts w:ascii="Arial" w:cs="Arial" w:eastAsia="Arial" w:hAnsi="Arial"/>
                <w:sz w:val="12"/>
                <w:szCs w:val="12"/>
                <w:color w:val="auto"/>
              </w:rPr>
              <w:t>Deferred (benefit) provision:</w:t>
            </w:r>
          </w:p>
        </w:tc>
        <w:tc>
          <w:tcPr>
            <w:tcW w:w="3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35"/>
        </w:trPr>
        <w:tc>
          <w:tcPr>
            <w:tcW w:w="1720" w:type="dxa"/>
            <w:vAlign w:val="bottom"/>
          </w:tcPr>
          <w:p>
            <w:pPr>
              <w:spacing w:after="0"/>
              <w:rPr>
                <w:sz w:val="11"/>
                <w:szCs w:val="11"/>
                <w:color w:val="auto"/>
              </w:rPr>
            </w:pPr>
          </w:p>
        </w:tc>
        <w:tc>
          <w:tcPr>
            <w:tcW w:w="33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Federal</w:t>
            </w:r>
          </w:p>
        </w:tc>
        <w:tc>
          <w:tcPr>
            <w:tcW w:w="3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(544)</w:t>
            </w:r>
          </w:p>
        </w:tc>
        <w:tc>
          <w:tcPr>
            <w:tcW w:w="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880</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tcPr>
          <w:p>
            <w:pPr>
              <w:ind w:left="120"/>
              <w:spacing w:after="0" w:line="135" w:lineRule="exact"/>
              <w:rPr>
                <w:sz w:val="20"/>
                <w:szCs w:val="20"/>
                <w:color w:val="auto"/>
              </w:rPr>
            </w:pPr>
            <w:r>
              <w:rPr>
                <w:rFonts w:ascii="Arial" w:cs="Arial" w:eastAsia="Arial" w:hAnsi="Arial"/>
                <w:sz w:val="12"/>
                <w:szCs w:val="12"/>
                <w:color w:val="auto"/>
              </w:rPr>
              <w:t>State</w:t>
            </w: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(105)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w:t>
            </w:r>
          </w:p>
        </w:tc>
        <w:tc>
          <w:tcPr>
            <w:tcW w:w="172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33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Foreign</w:t>
            </w:r>
          </w:p>
        </w:tc>
        <w:tc>
          <w:tcPr>
            <w:tcW w:w="3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gridSpan w:val="2"/>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720" w:type="dxa"/>
            <w:vAlign w:val="bottom"/>
          </w:tcPr>
          <w:p>
            <w:pPr>
              <w:spacing w:after="0"/>
              <w:rPr>
                <w:sz w:val="11"/>
                <w:szCs w:val="1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33"/>
        </w:trPr>
        <w:tc>
          <w:tcPr>
            <w:tcW w:w="17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(649)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782</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31"/>
        </w:trPr>
        <w:tc>
          <w:tcPr>
            <w:tcW w:w="1720" w:type="dxa"/>
            <w:vAlign w:val="bottom"/>
          </w:tcPr>
          <w:p>
            <w:pPr>
              <w:spacing w:after="0"/>
              <w:rPr>
                <w:sz w:val="11"/>
                <w:szCs w:val="11"/>
                <w:color w:val="auto"/>
              </w:rPr>
            </w:pPr>
          </w:p>
        </w:tc>
        <w:tc>
          <w:tcPr>
            <w:tcW w:w="33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Income tax (benefit) provision</w:t>
            </w:r>
          </w:p>
        </w:tc>
        <w:tc>
          <w:tcPr>
            <w:tcW w:w="32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(904)</w:t>
            </w:r>
          </w:p>
        </w:tc>
        <w:tc>
          <w:tcPr>
            <w:tcW w:w="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2,448</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r>
      <w:tr>
        <w:trPr>
          <w:trHeight w:val="286"/>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60" w:type="dxa"/>
            <w:vAlign w:val="bottom"/>
          </w:tcPr>
          <w:p>
            <w:pPr>
              <w:ind w:left="540"/>
              <w:spacing w:after="0"/>
              <w:rPr>
                <w:sz w:val="20"/>
                <w:szCs w:val="20"/>
                <w:color w:val="auto"/>
              </w:rPr>
            </w:pPr>
            <w:r>
              <w:rPr>
                <w:rFonts w:ascii="Arial" w:cs="Arial" w:eastAsia="Arial" w:hAnsi="Arial"/>
                <w:sz w:val="12"/>
                <w:szCs w:val="12"/>
                <w:color w:val="auto"/>
              </w:rPr>
              <w:t>F-40</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1"/>
        </w:trPr>
        <w:tc>
          <w:tcPr>
            <w:tcW w:w="1720" w:type="dxa"/>
            <w:vAlign w:val="bottom"/>
            <w:tcBorders>
              <w:bottom w:val="single" w:sz="8" w:color="808080"/>
            </w:tcBorders>
          </w:tcPr>
          <w:p>
            <w:pPr>
              <w:spacing w:after="0"/>
              <w:rPr>
                <w:sz w:val="12"/>
                <w:szCs w:val="12"/>
                <w:color w:val="auto"/>
              </w:rPr>
            </w:pPr>
          </w:p>
        </w:tc>
        <w:tc>
          <w:tcPr>
            <w:tcW w:w="3360" w:type="dxa"/>
            <w:vAlign w:val="bottom"/>
            <w:tcBorders>
              <w:bottom w:val="single" w:sz="8" w:color="808080"/>
            </w:tcBorders>
          </w:tcPr>
          <w:p>
            <w:pPr>
              <w:spacing w:after="0"/>
              <w:rPr>
                <w:sz w:val="12"/>
                <w:szCs w:val="12"/>
                <w:color w:val="auto"/>
              </w:rPr>
            </w:pPr>
          </w:p>
        </w:tc>
        <w:tc>
          <w:tcPr>
            <w:tcW w:w="3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211" w:name="page212"/>
    <w:bookmarkEnd w:id="211"/>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Income Taxes (Continued)</w:t>
      </w:r>
    </w:p>
    <w:p>
      <w:pPr>
        <w:spacing w:after="0" w:line="155" w:lineRule="exact"/>
        <w:rPr>
          <w:sz w:val="20"/>
          <w:szCs w:val="20"/>
          <w:color w:val="auto"/>
        </w:rPr>
      </w:pPr>
    </w:p>
    <w:p>
      <w:pPr>
        <w:ind w:right="420" w:firstLine="323"/>
        <w:spacing w:after="0" w:line="239" w:lineRule="auto"/>
        <w:rPr>
          <w:sz w:val="20"/>
          <w:szCs w:val="20"/>
          <w:color w:val="auto"/>
        </w:rPr>
      </w:pPr>
      <w:r>
        <w:rPr>
          <w:rFonts w:ascii="Arial" w:cs="Arial" w:eastAsia="Arial" w:hAnsi="Arial"/>
          <w:sz w:val="12"/>
          <w:szCs w:val="12"/>
          <w:color w:val="auto"/>
        </w:rPr>
        <w:t>The Company's effective tax rate for the year ended December 31, 2015 is greater than the U.S. federal statutory rate primarily due to state income taxes. The Company's effective tax rate for the year ended December 31, 2016 is lower than the U.S. federal statutory rate primarily due to research and development income tax credits, which was partially offset by state income taxes.</w:t>
      </w:r>
    </w:p>
    <w:p>
      <w:pPr>
        <w:spacing w:after="0" w:line="139" w:lineRule="exact"/>
        <w:rPr>
          <w:sz w:val="20"/>
          <w:szCs w:val="20"/>
          <w:color w:val="auto"/>
        </w:rPr>
      </w:pPr>
    </w:p>
    <w:p>
      <w:pPr>
        <w:ind w:left="8860"/>
        <w:spacing w:after="0"/>
        <w:rPr>
          <w:sz w:val="20"/>
          <w:szCs w:val="20"/>
          <w:color w:val="auto"/>
        </w:rPr>
      </w:pPr>
      <w:r>
        <w:rPr>
          <w:rFonts w:ascii="Arial" w:cs="Arial" w:eastAsia="Arial" w:hAnsi="Arial"/>
          <w:sz w:val="12"/>
          <w:szCs w:val="12"/>
          <w:color w:val="auto"/>
        </w:rPr>
        <w:t>Year Ended</w:t>
      </w:r>
    </w:p>
    <w:p>
      <w:pPr>
        <w:spacing w:after="0" w:line="15" w:lineRule="exact"/>
        <w:rPr>
          <w:sz w:val="20"/>
          <w:szCs w:val="20"/>
          <w:color w:val="auto"/>
        </w:rPr>
      </w:pPr>
    </w:p>
    <w:tbl>
      <w:tblPr>
        <w:tblLayout w:type="fixed"/>
        <w:tblInd w:w="1720" w:type="dxa"/>
        <w:tblCellMar>
          <w:top w:w="0" w:type="dxa"/>
          <w:left w:w="0" w:type="dxa"/>
          <w:bottom w:w="0" w:type="dxa"/>
          <w:right w:w="0" w:type="dxa"/>
        </w:tblCellMar>
      </w:tblPr>
      <w:tr>
        <w:trPr>
          <w:trHeight w:val="141"/>
        </w:trPr>
        <w:tc>
          <w:tcPr>
            <w:tcW w:w="6980" w:type="dxa"/>
            <w:vAlign w:val="bottom"/>
          </w:tcPr>
          <w:p>
            <w:pPr>
              <w:spacing w:after="0"/>
              <w:rPr>
                <w:sz w:val="12"/>
                <w:szCs w:val="1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2"/>
                <w:szCs w:val="12"/>
                <w:color w:val="auto"/>
              </w:rPr>
              <w:t>December 31,</w:t>
            </w:r>
          </w:p>
        </w:tc>
      </w:tr>
      <w:tr>
        <w:trPr>
          <w:trHeight w:val="160"/>
        </w:trPr>
        <w:tc>
          <w:tcPr>
            <w:tcW w:w="69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2015</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w w:val="89"/>
              </w:rPr>
              <w:t>2016</w:t>
            </w:r>
          </w:p>
        </w:tc>
        <w:tc>
          <w:tcPr>
            <w:tcW w:w="120" w:type="dxa"/>
            <w:vAlign w:val="bottom"/>
          </w:tcPr>
          <w:p>
            <w:pPr>
              <w:spacing w:after="0"/>
              <w:rPr>
                <w:sz w:val="13"/>
                <w:szCs w:val="13"/>
                <w:color w:val="auto"/>
              </w:rPr>
            </w:pPr>
          </w:p>
        </w:tc>
      </w:tr>
      <w:tr>
        <w:trPr>
          <w:trHeight w:val="134"/>
        </w:trPr>
        <w:tc>
          <w:tcPr>
            <w:tcW w:w="698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U.S. federal taxes at statutory rate</w:t>
            </w:r>
          </w:p>
        </w:tc>
        <w:tc>
          <w:tcPr>
            <w:tcW w:w="6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34.0%</w:t>
            </w:r>
          </w:p>
        </w:tc>
        <w:tc>
          <w:tcPr>
            <w:tcW w:w="4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35.0%</w:t>
            </w:r>
          </w:p>
        </w:tc>
      </w:tr>
      <w:tr>
        <w:trPr>
          <w:trHeight w:val="135"/>
        </w:trPr>
        <w:tc>
          <w:tcPr>
            <w:tcW w:w="6980" w:type="dxa"/>
            <w:vAlign w:val="bottom"/>
          </w:tcPr>
          <w:p>
            <w:pPr>
              <w:ind w:left="120"/>
              <w:spacing w:after="0" w:line="135" w:lineRule="exact"/>
              <w:rPr>
                <w:sz w:val="20"/>
                <w:szCs w:val="20"/>
                <w:color w:val="auto"/>
              </w:rPr>
            </w:pPr>
            <w:r>
              <w:rPr>
                <w:rFonts w:ascii="Arial" w:cs="Arial" w:eastAsia="Arial" w:hAnsi="Arial"/>
                <w:sz w:val="12"/>
                <w:szCs w:val="12"/>
                <w:color w:val="auto"/>
              </w:rPr>
              <w:t>State taxes, net of federal benefit</w:t>
            </w: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3.6</w:t>
            </w:r>
          </w:p>
        </w:tc>
        <w:tc>
          <w:tcPr>
            <w:tcW w:w="26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4.5</w:t>
            </w:r>
          </w:p>
        </w:tc>
        <w:tc>
          <w:tcPr>
            <w:tcW w:w="120" w:type="dxa"/>
            <w:vAlign w:val="bottom"/>
          </w:tcPr>
          <w:p>
            <w:pPr>
              <w:spacing w:after="0"/>
              <w:rPr>
                <w:sz w:val="11"/>
                <w:szCs w:val="11"/>
                <w:color w:val="auto"/>
              </w:rPr>
            </w:pPr>
          </w:p>
        </w:tc>
      </w:tr>
      <w:tr>
        <w:trPr>
          <w:trHeight w:val="135"/>
        </w:trPr>
        <w:tc>
          <w:tcPr>
            <w:tcW w:w="69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Nondeductible expenses</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(1.4)</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r>
      <w:tr>
        <w:trPr>
          <w:trHeight w:val="135"/>
        </w:trPr>
        <w:tc>
          <w:tcPr>
            <w:tcW w:w="6980" w:type="dxa"/>
            <w:vAlign w:val="bottom"/>
          </w:tcPr>
          <w:p>
            <w:pPr>
              <w:ind w:left="120"/>
              <w:spacing w:after="0" w:line="135" w:lineRule="exact"/>
              <w:rPr>
                <w:sz w:val="20"/>
                <w:szCs w:val="20"/>
                <w:color w:val="auto"/>
              </w:rPr>
            </w:pPr>
            <w:r>
              <w:rPr>
                <w:rFonts w:ascii="Arial" w:cs="Arial" w:eastAsia="Arial" w:hAnsi="Arial"/>
                <w:sz w:val="12"/>
                <w:szCs w:val="12"/>
                <w:color w:val="auto"/>
              </w:rPr>
              <w:t>Foreign rate differential</w:t>
            </w:r>
          </w:p>
        </w:tc>
        <w:tc>
          <w:tcPr>
            <w:tcW w:w="6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(0.1)</w:t>
            </w:r>
          </w:p>
        </w:tc>
      </w:tr>
      <w:tr>
        <w:trPr>
          <w:trHeight w:val="135"/>
        </w:trPr>
        <w:tc>
          <w:tcPr>
            <w:tcW w:w="698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Credits</w:t>
            </w:r>
          </w:p>
        </w:tc>
        <w:tc>
          <w:tcPr>
            <w:tcW w:w="6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(15.0)</w:t>
            </w:r>
          </w:p>
        </w:tc>
      </w:tr>
      <w:tr>
        <w:trPr>
          <w:trHeight w:val="135"/>
        </w:trPr>
        <w:tc>
          <w:tcPr>
            <w:tcW w:w="6980" w:type="dxa"/>
            <w:vAlign w:val="bottom"/>
          </w:tcPr>
          <w:p>
            <w:pPr>
              <w:ind w:left="120"/>
              <w:spacing w:after="0" w:line="135" w:lineRule="exact"/>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(0.6)</w:t>
            </w: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1.0</w:t>
            </w:r>
          </w:p>
        </w:tc>
        <w:tc>
          <w:tcPr>
            <w:tcW w:w="120" w:type="dxa"/>
            <w:vAlign w:val="bottom"/>
          </w:tcPr>
          <w:p>
            <w:pPr>
              <w:spacing w:after="0"/>
              <w:rPr>
                <w:sz w:val="11"/>
                <w:szCs w:val="1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69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35.6%</w:t>
            </w:r>
          </w:p>
        </w:tc>
        <w:tc>
          <w:tcPr>
            <w:tcW w:w="46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27.4%</w:t>
            </w:r>
          </w:p>
        </w:tc>
      </w:tr>
      <w:tr>
        <w:trPr>
          <w:trHeight w:val="27"/>
        </w:trPr>
        <w:tc>
          <w:tcPr>
            <w:tcW w:w="6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approximate income tax effect of each type of temporary difference and carryforward as of December 31, 2015 and 2016 is as follows:</w:t>
      </w:r>
    </w:p>
    <w:p>
      <w:pPr>
        <w:spacing w:after="0" w:line="141" w:lineRule="exact"/>
        <w:rPr>
          <w:sz w:val="20"/>
          <w:szCs w:val="20"/>
          <w:color w:val="auto"/>
        </w:rPr>
      </w:pPr>
    </w:p>
    <w:p>
      <w:pPr>
        <w:ind w:left="8860"/>
        <w:spacing w:after="0"/>
        <w:rPr>
          <w:sz w:val="20"/>
          <w:szCs w:val="20"/>
          <w:color w:val="auto"/>
        </w:rPr>
      </w:pPr>
      <w:r>
        <w:rPr>
          <w:rFonts w:ascii="Arial" w:cs="Arial" w:eastAsia="Arial" w:hAnsi="Arial"/>
          <w:sz w:val="12"/>
          <w:szCs w:val="12"/>
          <w:color w:val="auto"/>
        </w:rPr>
        <w:t>As of</w:t>
      </w:r>
    </w:p>
    <w:p>
      <w:pPr>
        <w:spacing w:after="0" w:line="15" w:lineRule="exact"/>
        <w:rPr>
          <w:sz w:val="20"/>
          <w:szCs w:val="20"/>
          <w:color w:val="auto"/>
        </w:rPr>
      </w:pPr>
    </w:p>
    <w:tbl>
      <w:tblPr>
        <w:tblLayout w:type="fixed"/>
        <w:tblInd w:w="1720" w:type="dxa"/>
        <w:tblCellMar>
          <w:top w:w="0" w:type="dxa"/>
          <w:left w:w="0" w:type="dxa"/>
          <w:bottom w:w="0" w:type="dxa"/>
          <w:right w:w="0" w:type="dxa"/>
        </w:tblCellMar>
      </w:tblPr>
      <w:tr>
        <w:trPr>
          <w:trHeight w:val="141"/>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tcPr>
          <w:p>
            <w:pPr>
              <w:jc w:val="right"/>
              <w:ind w:right="4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w w:val="97"/>
              </w:rPr>
              <w:t>2015</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Deferred tax assets:</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2"/>
                <w:szCs w:val="12"/>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37</w:t>
            </w:r>
          </w:p>
        </w:tc>
        <w:tc>
          <w:tcPr>
            <w:tcW w:w="60" w:type="dxa"/>
            <w:vAlign w:val="bottom"/>
          </w:tcPr>
          <w:p>
            <w:pPr>
              <w:spacing w:after="0"/>
              <w:rPr>
                <w:sz w:val="11"/>
                <w:szCs w:val="11"/>
                <w:color w:val="auto"/>
              </w:rPr>
            </w:pPr>
          </w:p>
        </w:tc>
        <w:tc>
          <w:tcPr>
            <w:tcW w:w="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Credit carryforwards</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2"/>
                <w:szCs w:val="12"/>
                <w:color w:val="auto"/>
              </w:rPr>
              <w:t>Stock-based compensation</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Landlord allowance on leasehold improvements</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2"/>
                <w:szCs w:val="12"/>
                <w:color w:val="auto"/>
              </w:rPr>
              <w:t>Deferred rent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685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968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Accruals and reserves</w:t>
            </w: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2,014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liability:</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2"/>
                <w:szCs w:val="12"/>
                <w:color w:val="auto"/>
              </w:rPr>
              <w:t>Fixed assets</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(1,524)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(3,548)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(1,524)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(3,548)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2"/>
                <w:szCs w:val="12"/>
                <w:color w:val="auto"/>
              </w:rPr>
              <w:t>Net deferred tax assets (liabilities)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24" w:lineRule="exact"/>
              <w:rPr>
                <w:sz w:val="20"/>
                <w:szCs w:val="20"/>
                <w:color w:val="auto"/>
              </w:rPr>
            </w:pPr>
            <w:r>
              <w:rPr>
                <w:rFonts w:ascii="Arial" w:cs="Arial" w:eastAsia="Arial" w:hAnsi="Arial"/>
                <w:sz w:val="12"/>
                <w:szCs w:val="12"/>
                <w:color w:val="auto"/>
              </w:rPr>
              <w:t>490</w:t>
            </w:r>
          </w:p>
        </w:tc>
        <w:tc>
          <w:tcPr>
            <w:tcW w:w="60" w:type="dxa"/>
            <w:vAlign w:val="bottom"/>
          </w:tcPr>
          <w:p>
            <w:pPr>
              <w:spacing w:after="0"/>
              <w:rPr>
                <w:sz w:val="10"/>
                <w:szCs w:val="10"/>
                <w:color w:val="auto"/>
              </w:rPr>
            </w:pPr>
          </w:p>
        </w:tc>
        <w:tc>
          <w:tcPr>
            <w:tcW w:w="14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3"/>
        <w:spacing w:after="0" w:line="247" w:lineRule="auto"/>
        <w:rPr>
          <w:sz w:val="20"/>
          <w:szCs w:val="20"/>
          <w:color w:val="auto"/>
        </w:rPr>
      </w:pPr>
      <w:r>
        <w:rPr>
          <w:rFonts w:ascii="Arial" w:cs="Arial" w:eastAsia="Arial" w:hAnsi="Arial"/>
          <w:sz w:val="12"/>
          <w:szCs w:val="12"/>
          <w:color w:val="auto"/>
        </w:rPr>
        <w:t xml:space="preserve">The Company uses the asset and liability method to account for income taxes in accordance with ASC 740, </w:t>
      </w:r>
      <w:r>
        <w:rPr>
          <w:rFonts w:ascii="Arial" w:cs="Arial" w:eastAsia="Arial" w:hAnsi="Arial"/>
          <w:sz w:val="12"/>
          <w:szCs w:val="12"/>
          <w:i w:val="1"/>
          <w:iCs w:val="1"/>
          <w:color w:val="auto"/>
        </w:rPr>
        <w:t>Income Taxes</w:t>
      </w:r>
      <w:r>
        <w:rPr>
          <w:rFonts w:ascii="Arial" w:cs="Arial" w:eastAsia="Arial" w:hAnsi="Arial"/>
          <w:sz w:val="12"/>
          <w:szCs w:val="12"/>
          <w:color w:val="auto"/>
        </w:rPr>
        <w:t>.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bookmarkStart w:id="212" w:name="page213"/>
    <w:bookmarkEnd w:id="212"/>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Income Taxes (Continued)</w:t>
      </w:r>
    </w:p>
    <w:p>
      <w:pPr>
        <w:spacing w:after="0" w:line="155" w:lineRule="exact"/>
        <w:rPr>
          <w:sz w:val="20"/>
          <w:szCs w:val="20"/>
          <w:color w:val="auto"/>
        </w:rPr>
      </w:pPr>
    </w:p>
    <w:p>
      <w:pPr>
        <w:ind w:right="240" w:firstLine="323"/>
        <w:spacing w:after="0" w:line="239" w:lineRule="auto"/>
        <w:rPr>
          <w:sz w:val="20"/>
          <w:szCs w:val="20"/>
          <w:color w:val="auto"/>
        </w:rPr>
      </w:pPr>
      <w:r>
        <w:rPr>
          <w:rFonts w:ascii="Arial" w:cs="Arial" w:eastAsia="Arial" w:hAnsi="Arial"/>
          <w:sz w:val="12"/>
          <w:szCs w:val="12"/>
          <w:color w:val="auto"/>
        </w:rPr>
        <w:t>The Company has not provided a valuation allowance against its net deferred tax assets at December 31, 2015 and 2016. Based upon the level of historical U.S. earnings and future projections over the period in which the net deferred tax assets are deductible, at this time, management believes it is more likely than not that the Company will realize the benefits of these deductible differences.</w:t>
      </w:r>
    </w:p>
    <w:p>
      <w:pPr>
        <w:spacing w:after="0" w:line="139" w:lineRule="exact"/>
        <w:rPr>
          <w:sz w:val="20"/>
          <w:szCs w:val="20"/>
          <w:color w:val="auto"/>
        </w:rPr>
      </w:pPr>
    </w:p>
    <w:p>
      <w:pPr>
        <w:ind w:firstLine="319"/>
        <w:spacing w:after="0" w:line="236" w:lineRule="auto"/>
        <w:rPr>
          <w:sz w:val="20"/>
          <w:szCs w:val="20"/>
          <w:color w:val="auto"/>
        </w:rPr>
      </w:pPr>
      <w:r>
        <w:rPr>
          <w:rFonts w:ascii="Arial" w:cs="Arial" w:eastAsia="Arial" w:hAnsi="Arial"/>
          <w:sz w:val="12"/>
          <w:szCs w:val="12"/>
          <w:color w:val="auto"/>
        </w:rPr>
        <w:t>As of December 31, 2016, the Company has federal and state tax credit carryforwards of approximately $68 and $112, respectively, available to reduce future tax liabilities that expire at various dates through 2036. Utilization of the tax credit carryforwards may be subject to an annual limitation due to ownership change limitations that have occurred previously or that could occur in the future, as provided by Section 382 of the Code, or Section 382, as well as similar state provisions. Ownership changes may limit the amount of tax credit carryforwards that can be utilized annually to offset future taxable income and tax, respectively. In general, an ownership change, as defined by Section 382, results from transactions that increase the ownership of five percent stockholders in the stock of a corporation by more than 50 percent in the aggregate over a three-year period.</w:t>
      </w:r>
    </w:p>
    <w:p>
      <w:pPr>
        <w:spacing w:after="0" w:line="129" w:lineRule="exact"/>
        <w:rPr>
          <w:sz w:val="20"/>
          <w:szCs w:val="20"/>
          <w:color w:val="auto"/>
        </w:rPr>
      </w:pPr>
    </w:p>
    <w:p>
      <w:pPr>
        <w:ind w:right="160" w:firstLine="323"/>
        <w:spacing w:after="0" w:line="259" w:lineRule="auto"/>
        <w:rPr>
          <w:sz w:val="20"/>
          <w:szCs w:val="20"/>
          <w:color w:val="auto"/>
        </w:rPr>
      </w:pPr>
      <w:r>
        <w:rPr>
          <w:rFonts w:ascii="Arial" w:cs="Arial" w:eastAsia="Arial" w:hAnsi="Arial"/>
          <w:sz w:val="12"/>
          <w:szCs w:val="12"/>
          <w:color w:val="auto"/>
        </w:rPr>
        <w:t xml:space="preserve">The Company previously adopted the provision for uncertain tax positions under ASC 740, </w:t>
      </w:r>
      <w:r>
        <w:rPr>
          <w:rFonts w:ascii="Arial" w:cs="Arial" w:eastAsia="Arial" w:hAnsi="Arial"/>
          <w:sz w:val="12"/>
          <w:szCs w:val="12"/>
          <w:i w:val="1"/>
          <w:iCs w:val="1"/>
          <w:color w:val="auto"/>
        </w:rPr>
        <w:t>Income Taxes</w:t>
      </w:r>
      <w:r>
        <w:rPr>
          <w:rFonts w:ascii="Arial" w:cs="Arial" w:eastAsia="Arial" w:hAnsi="Arial"/>
          <w:sz w:val="12"/>
          <w:szCs w:val="12"/>
          <w:color w:val="auto"/>
        </w:rPr>
        <w:t>. The adoption did not have an impact on the Company's retained earnings balance. At December 31, 2015 and 2016, the Company had no recorded liabilities for uncertain tax positions and had no accrued interest or penalties related to uncertain tax positions.</w:t>
      </w:r>
    </w:p>
    <w:p>
      <w:pPr>
        <w:spacing w:after="0" w:line="128" w:lineRule="exact"/>
        <w:rPr>
          <w:sz w:val="20"/>
          <w:szCs w:val="20"/>
          <w:color w:val="auto"/>
        </w:rPr>
      </w:pPr>
    </w:p>
    <w:p>
      <w:pPr>
        <w:ind w:right="20" w:firstLine="323"/>
        <w:spacing w:after="0" w:line="239" w:lineRule="auto"/>
        <w:rPr>
          <w:sz w:val="20"/>
          <w:szCs w:val="20"/>
          <w:color w:val="auto"/>
        </w:rPr>
      </w:pPr>
      <w:r>
        <w:rPr>
          <w:rFonts w:ascii="Arial" w:cs="Arial" w:eastAsia="Arial" w:hAnsi="Arial"/>
          <w:sz w:val="12"/>
          <w:szCs w:val="12"/>
          <w:color w:val="auto"/>
        </w:rPr>
        <w:t>The Company permanently reinvests the earnings, if any, of its foreign subsidiaries and, therefore, does not provide for U.S. income taxes that could result from the distribution of those earnings to the U.S. parent. As of December 31, 2016, the amount of unrecognized deferred U.S. taxes on these earnings would be de minimis.</w:t>
      </w:r>
    </w:p>
    <w:p>
      <w:pPr>
        <w:spacing w:after="0" w:line="139" w:lineRule="exact"/>
        <w:rPr>
          <w:sz w:val="20"/>
          <w:szCs w:val="20"/>
          <w:color w:val="auto"/>
        </w:rPr>
      </w:pPr>
    </w:p>
    <w:p>
      <w:pPr>
        <w:ind w:right="120" w:firstLine="323"/>
        <w:spacing w:after="0" w:line="239" w:lineRule="auto"/>
        <w:rPr>
          <w:sz w:val="20"/>
          <w:szCs w:val="20"/>
          <w:color w:val="auto"/>
        </w:rPr>
      </w:pPr>
      <w:r>
        <w:rPr>
          <w:rFonts w:ascii="Arial" w:cs="Arial" w:eastAsia="Arial" w:hAnsi="Arial"/>
          <w:sz w:val="12"/>
          <w:szCs w:val="12"/>
          <w:color w:val="auto"/>
        </w:rPr>
        <w:t>The Company and its subsidiaries are subject to various U.S. federal, state, and foreign income taxes. The Company is currently open to examination under the statute of limitations by the Internal Revenue Service and state jurisdictions for the tax years ended 2013 through 2016. Currently, there are no income tax audits in process.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Segment and Geographic Information</w:t>
      </w:r>
    </w:p>
    <w:p>
      <w:pPr>
        <w:spacing w:after="0" w:line="155" w:lineRule="exact"/>
        <w:rPr>
          <w:sz w:val="20"/>
          <w:szCs w:val="20"/>
          <w:color w:val="auto"/>
        </w:rPr>
      </w:pPr>
    </w:p>
    <w:p>
      <w:pPr>
        <w:ind w:right="340" w:firstLine="323"/>
        <w:spacing w:after="0" w:line="237" w:lineRule="auto"/>
        <w:rPr>
          <w:sz w:val="20"/>
          <w:szCs w:val="20"/>
          <w:color w:val="auto"/>
        </w:rPr>
      </w:pPr>
      <w:r>
        <w:rPr>
          <w:rFonts w:ascii="Arial" w:cs="Arial" w:eastAsia="Arial" w:hAnsi="Arial"/>
          <w:sz w:val="12"/>
          <w:szCs w:val="12"/>
          <w:color w:val="auto"/>
        </w:rPr>
        <w:t>The Company has two reportable segments, United States and International. Segment information is presented in the same manner as the Company's chief operating decision maker, or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41" w:lineRule="exact"/>
        <w:rPr>
          <w:sz w:val="20"/>
          <w:szCs w:val="20"/>
          <w:color w:val="auto"/>
        </w:rPr>
      </w:pPr>
    </w:p>
    <w:p>
      <w:pPr>
        <w:ind w:right="260" w:firstLine="323"/>
        <w:spacing w:after="0" w:line="237" w:lineRule="auto"/>
        <w:rPr>
          <w:sz w:val="20"/>
          <w:szCs w:val="20"/>
          <w:color w:val="auto"/>
        </w:rPr>
      </w:pPr>
      <w:r>
        <w:rPr>
          <w:rFonts w:ascii="Arial" w:cs="Arial" w:eastAsia="Arial" w:hAnsi="Arial"/>
          <w:sz w:val="12"/>
          <w:szCs w:val="12"/>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our operational overhead expenses, including technology and personnel costs, and other general and administrative costs associated with running our business, are incurred in the United States and not allocated to the international segment. Assets and costs discretely incurred by reportable segments, including depreciation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213" w:name="page214"/>
    <w:bookmarkEnd w:id="213"/>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Segment and Geographic Information (Continued)</w:t>
      </w:r>
    </w:p>
    <w:p>
      <w:pPr>
        <w:spacing w:after="0" w:line="155" w:lineRule="exact"/>
        <w:rPr>
          <w:sz w:val="20"/>
          <w:szCs w:val="20"/>
          <w:color w:val="auto"/>
        </w:rPr>
      </w:pPr>
    </w:p>
    <w:p>
      <w:pPr>
        <w:ind w:right="500"/>
        <w:spacing w:after="0" w:line="239" w:lineRule="auto"/>
        <w:rPr>
          <w:sz w:val="20"/>
          <w:szCs w:val="20"/>
          <w:color w:val="auto"/>
        </w:rPr>
      </w:pPr>
      <w:r>
        <w:rPr>
          <w:rFonts w:ascii="Arial" w:cs="Arial" w:eastAsia="Arial" w:hAnsi="Arial"/>
          <w:sz w:val="12"/>
          <w:szCs w:val="12"/>
          <w:color w:val="auto"/>
        </w:rPr>
        <w:t>amortization, are included in the calculation of reportable segment (loss) income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5760" w:type="dxa"/>
            <w:vAlign w:val="bottom"/>
            <w:gridSpan w:val="2"/>
          </w:tcPr>
          <w:p>
            <w:pPr>
              <w:spacing w:after="0"/>
              <w:rPr>
                <w:sz w:val="20"/>
                <w:szCs w:val="20"/>
                <w:color w:val="auto"/>
              </w:rPr>
            </w:pPr>
            <w:r>
              <w:rPr>
                <w:rFonts w:ascii="Arial" w:cs="Arial" w:eastAsia="Arial" w:hAnsi="Arial"/>
                <w:sz w:val="12"/>
                <w:szCs w:val="12"/>
                <w:color w:val="auto"/>
              </w:rPr>
              <w:t>Information regarding the Company's operations by segment and geographical area is presented below:</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2"/>
                <w:szCs w:val="12"/>
                <w:color w:val="auto"/>
              </w:rPr>
              <w:t>Year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Six Months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2"/>
                <w:szCs w:val="12"/>
                <w:color w:val="auto"/>
              </w:rPr>
              <w:t>December 31,</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2"/>
                <w:szCs w:val="12"/>
                <w:color w:val="auto"/>
                <w:w w:val="95"/>
              </w:rPr>
              <w:t>Ended 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color w:val="auto"/>
              </w:rPr>
              <w:t>2015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9"/>
              </w:rPr>
              <w:t>2016</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8"/>
          </w:tcPr>
          <w:p>
            <w:pPr>
              <w:jc w:val="right"/>
              <w:ind w:right="54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Segment revenue:</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tcPr>
          <w:p>
            <w:pPr>
              <w:ind w:left="120"/>
              <w:spacing w:after="0" w:line="135" w:lineRule="exact"/>
              <w:rPr>
                <w:sz w:val="20"/>
                <w:szCs w:val="20"/>
                <w:color w:val="auto"/>
              </w:rPr>
            </w:pPr>
            <w:r>
              <w:rPr>
                <w:rFonts w:ascii="Arial" w:cs="Arial" w:eastAsia="Arial" w:hAnsi="Arial"/>
                <w:sz w:val="12"/>
                <w:szCs w:val="12"/>
                <w:color w:val="auto"/>
              </w:rPr>
              <w:t>United States</w:t>
            </w: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98,566</w:t>
            </w:r>
          </w:p>
        </w:tc>
        <w:tc>
          <w:tcPr>
            <w:tcW w:w="80" w:type="dxa"/>
            <w:vAlign w:val="bottom"/>
          </w:tcPr>
          <w:p>
            <w:pPr>
              <w:spacing w:after="0"/>
              <w:rPr>
                <w:sz w:val="11"/>
                <w:szCs w:val="11"/>
                <w:color w:val="auto"/>
              </w:rPr>
            </w:pPr>
          </w:p>
        </w:tc>
        <w:tc>
          <w:tcPr>
            <w:tcW w:w="300" w:type="dxa"/>
            <w:vAlign w:val="bottom"/>
            <w:gridSpan w:val="2"/>
          </w:tcPr>
          <w:p>
            <w:pPr>
              <w:jc w:val="right"/>
              <w:ind w:right="161"/>
              <w:spacing w:after="0" w:line="135" w:lineRule="exact"/>
              <w:rPr>
                <w:sz w:val="20"/>
                <w:szCs w:val="20"/>
                <w:color w:val="auto"/>
              </w:rPr>
            </w:pPr>
            <w:r>
              <w:rPr>
                <w:rFonts w:ascii="Arial" w:cs="Arial" w:eastAsia="Arial" w:hAnsi="Arial"/>
                <w:sz w:val="12"/>
                <w:szCs w:val="12"/>
                <w:color w:val="auto"/>
                <w:w w:val="89"/>
              </w:rPr>
              <w:t>$</w:t>
            </w:r>
          </w:p>
        </w:tc>
        <w:tc>
          <w:tcPr>
            <w:tcW w:w="620" w:type="dxa"/>
            <w:vAlign w:val="bottom"/>
            <w:gridSpan w:val="4"/>
          </w:tcPr>
          <w:p>
            <w:pPr>
              <w:jc w:val="right"/>
              <w:spacing w:after="0" w:line="135" w:lineRule="exact"/>
              <w:rPr>
                <w:sz w:val="20"/>
                <w:szCs w:val="20"/>
                <w:color w:val="auto"/>
              </w:rPr>
            </w:pPr>
            <w:r>
              <w:rPr>
                <w:rFonts w:ascii="Arial" w:cs="Arial" w:eastAsia="Arial" w:hAnsi="Arial"/>
                <w:sz w:val="12"/>
                <w:szCs w:val="12"/>
                <w:color w:val="auto"/>
              </w:rPr>
              <w:t>195,824</w:t>
            </w:r>
          </w:p>
        </w:tc>
        <w:tc>
          <w:tcPr>
            <w:tcW w:w="400" w:type="dxa"/>
            <w:vAlign w:val="bottom"/>
            <w:gridSpan w:val="2"/>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2"/>
                <w:szCs w:val="12"/>
                <w:color w:val="auto"/>
                <w:w w:val="92"/>
              </w:rPr>
              <w:t>83,760</w:t>
            </w: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139,560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International</w:t>
            </w:r>
          </w:p>
        </w:tc>
        <w:tc>
          <w:tcPr>
            <w:tcW w:w="3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2,317</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4940" w:type="dxa"/>
            <w:vAlign w:val="bottom"/>
          </w:tcPr>
          <w:p>
            <w:pPr>
              <w:ind w:left="240"/>
              <w:spacing w:after="0" w:line="124" w:lineRule="exact"/>
              <w:rPr>
                <w:sz w:val="20"/>
                <w:szCs w:val="20"/>
                <w:color w:val="auto"/>
              </w:rPr>
            </w:pPr>
            <w:r>
              <w:rPr>
                <w:rFonts w:ascii="Arial" w:cs="Arial" w:eastAsia="Arial" w:hAnsi="Arial"/>
                <w:sz w:val="12"/>
                <w:szCs w:val="12"/>
                <w:color w:val="auto"/>
              </w:rPr>
              <w:t>Total revenue</w:t>
            </w:r>
          </w:p>
        </w:tc>
        <w:tc>
          <w:tcPr>
            <w:tcW w:w="52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98,588</w:t>
            </w:r>
          </w:p>
        </w:tc>
        <w:tc>
          <w:tcPr>
            <w:tcW w:w="80" w:type="dxa"/>
            <w:vAlign w:val="bottom"/>
          </w:tcPr>
          <w:p>
            <w:pPr>
              <w:spacing w:after="0"/>
              <w:rPr>
                <w:sz w:val="10"/>
                <w:szCs w:val="10"/>
                <w:color w:val="auto"/>
              </w:rPr>
            </w:pPr>
          </w:p>
        </w:tc>
        <w:tc>
          <w:tcPr>
            <w:tcW w:w="300" w:type="dxa"/>
            <w:vAlign w:val="bottom"/>
            <w:gridSpan w:val="2"/>
          </w:tcPr>
          <w:p>
            <w:pPr>
              <w:jc w:val="right"/>
              <w:ind w:right="161"/>
              <w:spacing w:after="0" w:line="124" w:lineRule="exact"/>
              <w:rPr>
                <w:sz w:val="20"/>
                <w:szCs w:val="20"/>
                <w:color w:val="auto"/>
              </w:rPr>
            </w:pPr>
            <w:r>
              <w:rPr>
                <w:rFonts w:ascii="Arial" w:cs="Arial" w:eastAsia="Arial" w:hAnsi="Arial"/>
                <w:sz w:val="12"/>
                <w:szCs w:val="12"/>
                <w:color w:val="auto"/>
                <w:w w:val="89"/>
              </w:rPr>
              <w:t>$</w:t>
            </w:r>
          </w:p>
        </w:tc>
        <w:tc>
          <w:tcPr>
            <w:tcW w:w="620" w:type="dxa"/>
            <w:vAlign w:val="bottom"/>
            <w:gridSpan w:val="4"/>
          </w:tcPr>
          <w:p>
            <w:pPr>
              <w:jc w:val="right"/>
              <w:spacing w:after="0" w:line="124" w:lineRule="exact"/>
              <w:rPr>
                <w:sz w:val="20"/>
                <w:szCs w:val="20"/>
                <w:color w:val="auto"/>
              </w:rPr>
            </w:pPr>
            <w:r>
              <w:rPr>
                <w:rFonts w:ascii="Arial" w:cs="Arial" w:eastAsia="Arial" w:hAnsi="Arial"/>
                <w:sz w:val="12"/>
                <w:szCs w:val="12"/>
                <w:color w:val="auto"/>
              </w:rPr>
              <w:t>198,141</w:t>
            </w:r>
          </w:p>
        </w:tc>
        <w:tc>
          <w:tcPr>
            <w:tcW w:w="400" w:type="dxa"/>
            <w:vAlign w:val="bottom"/>
            <w:gridSpan w:val="2"/>
          </w:tcPr>
          <w:p>
            <w:pPr>
              <w:jc w:val="right"/>
              <w:ind w:right="181"/>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Arial" w:cs="Arial" w:eastAsia="Arial" w:hAnsi="Arial"/>
                <w:sz w:val="12"/>
                <w:szCs w:val="12"/>
                <w:color w:val="auto"/>
                <w:w w:val="92"/>
              </w:rPr>
              <w:t>84,241</w:t>
            </w:r>
          </w:p>
        </w:tc>
        <w:tc>
          <w:tcPr>
            <w:tcW w:w="20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143,275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gridSpan w:val="2"/>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5"/>
        </w:trPr>
        <w:tc>
          <w:tcPr>
            <w:tcW w:w="8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2"/>
                <w:szCs w:val="12"/>
                <w:color w:val="auto"/>
                <w:w w:val="94"/>
              </w:rPr>
              <w:t>Year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7"/>
          </w:tcPr>
          <w:p>
            <w:pPr>
              <w:jc w:val="right"/>
              <w:ind w:right="540"/>
              <w:spacing w:after="0"/>
              <w:rPr>
                <w:sz w:val="20"/>
                <w:szCs w:val="20"/>
                <w:color w:val="auto"/>
              </w:rPr>
            </w:pPr>
            <w:r>
              <w:rPr>
                <w:rFonts w:ascii="Arial" w:cs="Arial" w:eastAsia="Arial" w:hAnsi="Arial"/>
                <w:sz w:val="12"/>
                <w:szCs w:val="12"/>
                <w:color w:val="auto"/>
                <w:w w:val="94"/>
              </w:rPr>
              <w:t>Six Months</w:t>
            </w: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8"/>
          </w:tcPr>
          <w:p>
            <w:pPr>
              <w:jc w:val="right"/>
              <w:ind w:right="460"/>
              <w:spacing w:after="0"/>
              <w:rPr>
                <w:sz w:val="20"/>
                <w:szCs w:val="20"/>
                <w:color w:val="auto"/>
              </w:rPr>
            </w:pPr>
            <w:r>
              <w:rPr>
                <w:rFonts w:ascii="Arial" w:cs="Arial" w:eastAsia="Arial" w:hAnsi="Arial"/>
                <w:sz w:val="12"/>
                <w:szCs w:val="12"/>
                <w:color w:val="auto"/>
              </w:rPr>
              <w:t>December 31,</w:t>
            </w:r>
          </w:p>
        </w:tc>
        <w:tc>
          <w:tcPr>
            <w:tcW w:w="100" w:type="dxa"/>
            <w:vAlign w:val="bottom"/>
          </w:tcPr>
          <w:p>
            <w:pPr>
              <w:spacing w:after="0"/>
              <w:rPr>
                <w:sz w:val="13"/>
                <w:szCs w:val="13"/>
                <w:color w:val="auto"/>
              </w:rPr>
            </w:pPr>
          </w:p>
        </w:tc>
        <w:tc>
          <w:tcPr>
            <w:tcW w:w="1480" w:type="dxa"/>
            <w:vAlign w:val="bottom"/>
            <w:gridSpan w:val="8"/>
          </w:tcPr>
          <w:p>
            <w:pPr>
              <w:jc w:val="right"/>
              <w:ind w:right="460"/>
              <w:spacing w:after="0"/>
              <w:rPr>
                <w:sz w:val="20"/>
                <w:szCs w:val="20"/>
                <w:color w:val="auto"/>
              </w:rPr>
            </w:pPr>
            <w:r>
              <w:rPr>
                <w:rFonts w:ascii="Arial" w:cs="Arial" w:eastAsia="Arial" w:hAnsi="Arial"/>
                <w:sz w:val="12"/>
                <w:szCs w:val="12"/>
                <w:color w:val="auto"/>
              </w:rPr>
              <w:t>Ended June 30,</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20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7"/>
          </w:tcPr>
          <w:p>
            <w:pPr>
              <w:jc w:val="right"/>
              <w:ind w:right="440"/>
              <w:spacing w:after="0"/>
              <w:rPr>
                <w:sz w:val="20"/>
                <w:szCs w:val="20"/>
                <w:color w:val="auto"/>
              </w:rPr>
            </w:pPr>
            <w:r>
              <w:rPr>
                <w:rFonts w:ascii="Arial" w:cs="Arial" w:eastAsia="Arial" w:hAnsi="Arial"/>
                <w:sz w:val="12"/>
                <w:szCs w:val="12"/>
                <w:color w:val="auto"/>
              </w:rPr>
              <w:t>(unaudited)</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Segment (loss) income from operations: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tcPr>
          <w:p>
            <w:pPr>
              <w:ind w:left="120"/>
              <w:spacing w:after="0" w:line="135" w:lineRule="exact"/>
              <w:rPr>
                <w:sz w:val="20"/>
                <w:szCs w:val="20"/>
                <w:color w:val="auto"/>
              </w:rPr>
            </w:pPr>
            <w:r>
              <w:rPr>
                <w:rFonts w:ascii="Arial" w:cs="Arial" w:eastAsia="Arial" w:hAnsi="Arial"/>
                <w:sz w:val="12"/>
                <w:szCs w:val="12"/>
                <w:color w:val="auto"/>
              </w:rPr>
              <w:t>United States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2"/>
                <w:szCs w:val="12"/>
                <w:color w:val="auto"/>
                <w:w w:val="99"/>
              </w:rPr>
              <w:t>637</w:t>
            </w:r>
          </w:p>
        </w:tc>
        <w:tc>
          <w:tcPr>
            <w:tcW w:w="80" w:type="dxa"/>
            <w:vAlign w:val="bottom"/>
          </w:tcPr>
          <w:p>
            <w:pPr>
              <w:spacing w:after="0"/>
              <w:rPr>
                <w:sz w:val="11"/>
                <w:szCs w:val="11"/>
                <w:color w:val="auto"/>
              </w:rPr>
            </w:pPr>
          </w:p>
        </w:tc>
        <w:tc>
          <w:tcPr>
            <w:tcW w:w="320" w:type="dxa"/>
            <w:vAlign w:val="bottom"/>
            <w:gridSpan w:val="2"/>
          </w:tcPr>
          <w:p>
            <w:pPr>
              <w:jc w:val="right"/>
              <w:ind w:right="161"/>
              <w:spacing w:after="0" w:line="135"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27,461</w:t>
            </w: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8,467</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24,280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49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International</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(3,165)</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93"/>
              </w:rPr>
              <w:t>(18,890)</w:t>
            </w: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(7,759)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(11,901)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40" w:type="dxa"/>
            <w:vAlign w:val="bottom"/>
            <w:vMerge w:val="restart"/>
          </w:tcPr>
          <w:p>
            <w:pPr>
              <w:ind w:left="240"/>
              <w:spacing w:after="0"/>
              <w:rPr>
                <w:sz w:val="20"/>
                <w:szCs w:val="20"/>
                <w:color w:val="auto"/>
              </w:rPr>
            </w:pPr>
            <w:r>
              <w:rPr>
                <w:rFonts w:ascii="Arial" w:cs="Arial" w:eastAsia="Arial" w:hAnsi="Arial"/>
                <w:sz w:val="12"/>
                <w:szCs w:val="12"/>
                <w:color w:val="auto"/>
              </w:rPr>
              <w:t>Total (loss) income from operations</w:t>
            </w: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600" w:type="dxa"/>
            <w:vAlign w:val="bottom"/>
            <w:gridSpan w:val="4"/>
          </w:tcPr>
          <w:p>
            <w:pPr>
              <w:jc w:val="right"/>
              <w:ind w:right="40"/>
              <w:spacing w:after="0" w:line="124" w:lineRule="exact"/>
              <w:rPr>
                <w:sz w:val="20"/>
                <w:szCs w:val="20"/>
                <w:color w:val="auto"/>
              </w:rPr>
            </w:pPr>
            <w:r>
              <w:rPr>
                <w:rFonts w:ascii="Arial" w:cs="Arial" w:eastAsia="Arial" w:hAnsi="Arial"/>
                <w:sz w:val="12"/>
                <w:szCs w:val="12"/>
                <w:color w:val="auto"/>
              </w:rPr>
              <w:t>(2,528)</w:t>
            </w:r>
          </w:p>
        </w:tc>
        <w:tc>
          <w:tcPr>
            <w:tcW w:w="320" w:type="dxa"/>
            <w:vAlign w:val="bottom"/>
            <w:gridSpan w:val="2"/>
          </w:tcPr>
          <w:p>
            <w:pPr>
              <w:jc w:val="right"/>
              <w:ind w:right="161"/>
              <w:spacing w:after="0" w:line="124"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8,571</w:t>
            </w:r>
          </w:p>
        </w:tc>
        <w:tc>
          <w:tcPr>
            <w:tcW w:w="80" w:type="dxa"/>
            <w:vAlign w:val="bottom"/>
          </w:tcPr>
          <w:p>
            <w:pPr>
              <w:spacing w:after="0"/>
              <w:rPr>
                <w:sz w:val="10"/>
                <w:szCs w:val="10"/>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20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79"/>
              </w:rPr>
              <w:t>708</w:t>
            </w:r>
          </w:p>
        </w:tc>
        <w:tc>
          <w:tcPr>
            <w:tcW w:w="60" w:type="dxa"/>
            <w:vAlign w:val="bottom"/>
          </w:tcPr>
          <w:p>
            <w:pPr>
              <w:spacing w:after="0"/>
              <w:rPr>
                <w:sz w:val="10"/>
                <w:szCs w:val="10"/>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12,379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2015 and 2016, and June 30, 2017, property and equipment held outside the United States was not material.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20" w:type="dxa"/>
            <w:vAlign w:val="bottom"/>
            <w:gridSpan w:val="2"/>
          </w:tcPr>
          <w:p>
            <w:pPr>
              <w:spacing w:after="0"/>
              <w:rPr>
                <w:sz w:val="20"/>
                <w:szCs w:val="20"/>
                <w:color w:val="auto"/>
              </w:rPr>
            </w:pPr>
            <w:r>
              <w:rPr>
                <w:rFonts w:ascii="Arial" w:cs="Arial" w:eastAsia="Arial" w:hAnsi="Arial"/>
                <w:sz w:val="12"/>
                <w:szCs w:val="12"/>
                <w:b w:val="1"/>
                <w:bCs w:val="1"/>
                <w:color w:val="auto"/>
              </w:rPr>
              <w:t>9. Components of Other (Expense) Income, Net</w:t>
            </w:r>
          </w:p>
        </w:tc>
        <w:tc>
          <w:tcPr>
            <w:tcW w:w="2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4620" w:type="dxa"/>
            <w:vAlign w:val="bottom"/>
            <w:gridSpan w:val="2"/>
          </w:tcPr>
          <w:p>
            <w:pPr>
              <w:ind w:left="320"/>
              <w:spacing w:after="0"/>
              <w:rPr>
                <w:sz w:val="20"/>
                <w:szCs w:val="20"/>
                <w:color w:val="auto"/>
              </w:rPr>
            </w:pPr>
            <w:r>
              <w:rPr>
                <w:rFonts w:ascii="Arial" w:cs="Arial" w:eastAsia="Arial" w:hAnsi="Arial"/>
                <w:sz w:val="12"/>
                <w:szCs w:val="12"/>
                <w:color w:val="auto"/>
              </w:rPr>
              <w:t>The components of other (expense) income, net, are as follows:</w:t>
            </w: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gridSpan w:val="4"/>
          </w:tcPr>
          <w:p>
            <w:pPr>
              <w:jc w:val="right"/>
              <w:ind w:right="1"/>
              <w:spacing w:after="0"/>
              <w:rPr>
                <w:sz w:val="20"/>
                <w:szCs w:val="20"/>
                <w:color w:val="auto"/>
              </w:rPr>
            </w:pPr>
            <w:r>
              <w:rPr>
                <w:rFonts w:ascii="Arial" w:cs="Arial" w:eastAsia="Arial" w:hAnsi="Arial"/>
                <w:sz w:val="12"/>
                <w:szCs w:val="12"/>
                <w:color w:val="auto"/>
              </w:rPr>
              <w:t>Year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right"/>
              <w:ind w:right="81"/>
              <w:spacing w:after="0"/>
              <w:rPr>
                <w:sz w:val="20"/>
                <w:szCs w:val="20"/>
                <w:color w:val="auto"/>
              </w:rPr>
            </w:pPr>
            <w:r>
              <w:rPr>
                <w:rFonts w:ascii="Arial" w:cs="Arial" w:eastAsia="Arial" w:hAnsi="Arial"/>
                <w:sz w:val="12"/>
                <w:szCs w:val="12"/>
                <w:color w:val="auto"/>
              </w:rPr>
              <w:t>Six Months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December 31,</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2"/>
                <w:szCs w:val="12"/>
                <w:color w:val="auto"/>
              </w:rPr>
              <w:t>Ended June 30,</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97"/>
              </w:rPr>
              <w:t>2016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color w:val="auto"/>
                <w:w w:val="95"/>
              </w:rPr>
              <w:t>(unaudited)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Interest income</w:t>
            </w:r>
          </w:p>
        </w:tc>
        <w:tc>
          <w:tcPr>
            <w:tcW w:w="23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416</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170</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1"/>
              <w:spacing w:after="0" w:line="135"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357</w:t>
            </w:r>
          </w:p>
        </w:tc>
        <w:tc>
          <w:tcPr>
            <w:tcW w:w="120" w:type="dxa"/>
            <w:vAlign w:val="bottom"/>
            <w:shd w:val="clear" w:color="auto" w:fill="CCEEFF"/>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720"/>
              <w:spacing w:after="0" w:line="135" w:lineRule="exact"/>
              <w:rPr>
                <w:sz w:val="20"/>
                <w:szCs w:val="20"/>
                <w:color w:val="auto"/>
              </w:rPr>
            </w:pPr>
            <w:r>
              <w:rPr>
                <w:rFonts w:ascii="Arial" w:cs="Arial" w:eastAsia="Arial" w:hAnsi="Arial"/>
                <w:sz w:val="12"/>
                <w:szCs w:val="12"/>
                <w:color w:val="auto"/>
              </w:rPr>
              <w:t>Interest expense</w:t>
            </w:r>
          </w:p>
        </w:tc>
        <w:tc>
          <w:tcPr>
            <w:tcW w:w="23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620" w:type="dxa"/>
            <w:vAlign w:val="bottom"/>
            <w:gridSpan w:val="2"/>
          </w:tcPr>
          <w:p>
            <w:pPr>
              <w:jc w:val="right"/>
              <w:ind w:right="81"/>
              <w:spacing w:after="0" w:line="135" w:lineRule="exact"/>
              <w:rPr>
                <w:sz w:val="20"/>
                <w:szCs w:val="20"/>
                <w:color w:val="auto"/>
              </w:rPr>
            </w:pPr>
            <w:r>
              <w:rPr>
                <w:rFonts w:ascii="Arial" w:cs="Arial" w:eastAsia="Arial" w:hAnsi="Arial"/>
                <w:sz w:val="12"/>
                <w:szCs w:val="12"/>
                <w:color w:val="auto"/>
              </w:rPr>
              <w:t>(13)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exchange losses</w:t>
            </w:r>
          </w:p>
        </w:tc>
        <w:tc>
          <w:tcPr>
            <w:tcW w:w="236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w:t>
            </w: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81"/>
              <w:spacing w:after="0" w:line="135" w:lineRule="exact"/>
              <w:rPr>
                <w:sz w:val="20"/>
                <w:szCs w:val="20"/>
                <w:color w:val="auto"/>
              </w:rPr>
            </w:pPr>
            <w:r>
              <w:rPr>
                <w:rFonts w:ascii="Arial" w:cs="Arial" w:eastAsia="Arial" w:hAnsi="Arial"/>
                <w:sz w:val="12"/>
                <w:szCs w:val="12"/>
                <w:color w:val="auto"/>
              </w:rPr>
              <w:t>(4)</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9"/>
              </w:rPr>
              <w:t>(128)</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vMerge w:val="restart"/>
          </w:tcPr>
          <w:p>
            <w:pPr>
              <w:ind w:left="120"/>
              <w:spacing w:after="0"/>
              <w:rPr>
                <w:sz w:val="20"/>
                <w:szCs w:val="20"/>
                <w:color w:val="auto"/>
              </w:rPr>
            </w:pPr>
            <w:r>
              <w:rPr>
                <w:rFonts w:ascii="Arial" w:cs="Arial" w:eastAsia="Arial" w:hAnsi="Arial"/>
                <w:sz w:val="12"/>
                <w:szCs w:val="12"/>
                <w:color w:val="auto"/>
              </w:rPr>
              <w:t>Other (expense) income, net</w:t>
            </w:r>
          </w:p>
        </w:tc>
        <w:tc>
          <w:tcPr>
            <w:tcW w:w="23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23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line="124" w:lineRule="exact"/>
              <w:rPr>
                <w:sz w:val="20"/>
                <w:szCs w:val="20"/>
                <w:color w:val="auto"/>
              </w:rPr>
            </w:pPr>
            <w:r>
              <w:rPr>
                <w:rFonts w:ascii="Arial" w:cs="Arial" w:eastAsia="Arial" w:hAnsi="Arial"/>
                <w:sz w:val="12"/>
                <w:szCs w:val="12"/>
                <w:color w:val="auto"/>
              </w:rPr>
              <w:t>(12)</w:t>
            </w:r>
          </w:p>
        </w:tc>
        <w:tc>
          <w:tcPr>
            <w:tcW w:w="360" w:type="dxa"/>
            <w:vAlign w:val="bottom"/>
            <w:gridSpan w:val="2"/>
          </w:tcPr>
          <w:p>
            <w:pPr>
              <w:jc w:val="right"/>
              <w:ind w:right="141"/>
              <w:spacing w:after="0" w:line="124" w:lineRule="exact"/>
              <w:rPr>
                <w:sz w:val="20"/>
                <w:szCs w:val="20"/>
                <w:color w:val="auto"/>
              </w:rPr>
            </w:pPr>
            <w:r>
              <w:rPr>
                <w:rFonts w:ascii="Arial" w:cs="Arial" w:eastAsia="Arial" w:hAnsi="Arial"/>
                <w:sz w:val="12"/>
                <w:szCs w:val="12"/>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2"/>
                <w:szCs w:val="12"/>
                <w:color w:val="auto"/>
              </w:rPr>
              <w:t>374</w:t>
            </w:r>
          </w:p>
        </w:tc>
        <w:tc>
          <w:tcPr>
            <w:tcW w:w="80" w:type="dxa"/>
            <w:vAlign w:val="bottom"/>
          </w:tcPr>
          <w:p>
            <w:pPr>
              <w:spacing w:after="0"/>
              <w:rPr>
                <w:sz w:val="11"/>
                <w:szCs w:val="11"/>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153</w:t>
            </w:r>
          </w:p>
        </w:tc>
        <w:tc>
          <w:tcPr>
            <w:tcW w:w="180" w:type="dxa"/>
            <w:vAlign w:val="bottom"/>
          </w:tcPr>
          <w:p>
            <w:pPr>
              <w:spacing w:after="0"/>
              <w:rPr>
                <w:sz w:val="11"/>
                <w:szCs w:val="11"/>
                <w:color w:val="auto"/>
              </w:rPr>
            </w:pPr>
          </w:p>
        </w:tc>
        <w:tc>
          <w:tcPr>
            <w:tcW w:w="440" w:type="dxa"/>
            <w:vAlign w:val="bottom"/>
            <w:gridSpan w:val="2"/>
          </w:tcPr>
          <w:p>
            <w:pPr>
              <w:jc w:val="right"/>
              <w:ind w:right="181"/>
              <w:spacing w:after="0" w:line="124"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24" w:lineRule="exact"/>
              <w:rPr>
                <w:sz w:val="20"/>
                <w:szCs w:val="20"/>
                <w:color w:val="auto"/>
              </w:rPr>
            </w:pPr>
            <w:r>
              <w:rPr>
                <w:rFonts w:ascii="Arial" w:cs="Arial" w:eastAsia="Arial" w:hAnsi="Arial"/>
                <w:sz w:val="12"/>
                <w:szCs w:val="12"/>
                <w:color w:val="auto"/>
              </w:rPr>
              <w:t>217</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60" w:type="dxa"/>
            <w:vAlign w:val="bottom"/>
          </w:tcPr>
          <w:p>
            <w:pPr>
              <w:jc w:val="right"/>
              <w:ind w:right="1061"/>
              <w:spacing w:after="0"/>
              <w:rPr>
                <w:sz w:val="20"/>
                <w:szCs w:val="20"/>
                <w:color w:val="auto"/>
              </w:rPr>
            </w:pPr>
            <w:r>
              <w:rPr>
                <w:rFonts w:ascii="Arial" w:cs="Arial" w:eastAsia="Arial" w:hAnsi="Arial"/>
                <w:sz w:val="12"/>
                <w:szCs w:val="12"/>
                <w:color w:val="auto"/>
              </w:rPr>
              <w:t>F-43</w:t>
            </w: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720" w:type="dxa"/>
            <w:vAlign w:val="bottom"/>
            <w:tcBorders>
              <w:bottom w:val="single" w:sz="8" w:color="808080"/>
            </w:tcBorders>
          </w:tcPr>
          <w:p>
            <w:pPr>
              <w:spacing w:after="0"/>
              <w:rPr>
                <w:sz w:val="12"/>
                <w:szCs w:val="12"/>
                <w:color w:val="auto"/>
              </w:rPr>
            </w:pPr>
          </w:p>
        </w:tc>
        <w:tc>
          <w:tcPr>
            <w:tcW w:w="2900" w:type="dxa"/>
            <w:vAlign w:val="bottom"/>
            <w:tcBorders>
              <w:bottom w:val="single" w:sz="8" w:color="808080"/>
            </w:tcBorders>
          </w:tcPr>
          <w:p>
            <w:pPr>
              <w:spacing w:after="0"/>
              <w:rPr>
                <w:sz w:val="12"/>
                <w:szCs w:val="12"/>
                <w:color w:val="auto"/>
              </w:rPr>
            </w:pPr>
          </w:p>
        </w:tc>
        <w:tc>
          <w:tcPr>
            <w:tcW w:w="23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214" w:name="page215"/>
    <w:bookmarkEnd w:id="214"/>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Table of Contents</w:t>
        </w:r>
      </w:hyperlink>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CarGurus, Inc.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Employee benefit plans</w:t>
      </w:r>
    </w:p>
    <w:p>
      <w:pPr>
        <w:spacing w:after="0" w:line="155" w:lineRule="exact"/>
        <w:rPr>
          <w:sz w:val="20"/>
          <w:szCs w:val="20"/>
          <w:color w:val="auto"/>
        </w:rPr>
      </w:pPr>
    </w:p>
    <w:p>
      <w:pPr>
        <w:ind w:firstLine="323"/>
        <w:spacing w:after="0" w:line="239" w:lineRule="auto"/>
        <w:rPr>
          <w:sz w:val="20"/>
          <w:szCs w:val="20"/>
          <w:color w:val="auto"/>
        </w:rPr>
      </w:pPr>
      <w:r>
        <w:rPr>
          <w:rFonts w:ascii="Arial" w:cs="Arial" w:eastAsia="Arial" w:hAnsi="Arial"/>
          <w:sz w:val="12"/>
          <w:szCs w:val="12"/>
          <w:color w:val="auto"/>
        </w:rPr>
        <w:t>The Company maintains a defined contribution savings plan covering all eligible U.S. employees under Section 401(k) of the Code. Company contributions to the plan may be made at the discretion of the executive team. During the years ended December 31, 2015 and 2016, the Company did not make any employer contributions to the plan.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Subsequent Events</w:t>
      </w:r>
    </w:p>
    <w:p>
      <w:pPr>
        <w:spacing w:after="0" w:line="155" w:lineRule="exact"/>
        <w:rPr>
          <w:sz w:val="20"/>
          <w:szCs w:val="20"/>
          <w:color w:val="auto"/>
        </w:rPr>
      </w:pPr>
    </w:p>
    <w:p>
      <w:pPr>
        <w:jc w:val="both"/>
        <w:ind w:right="80" w:firstLine="323"/>
        <w:spacing w:after="0" w:line="237" w:lineRule="auto"/>
        <w:rPr>
          <w:sz w:val="20"/>
          <w:szCs w:val="20"/>
          <w:color w:val="auto"/>
        </w:rPr>
      </w:pPr>
      <w:r>
        <w:rPr>
          <w:rFonts w:ascii="Arial" w:cs="Arial" w:eastAsia="Arial" w:hAnsi="Arial"/>
          <w:sz w:val="12"/>
          <w:szCs w:val="12"/>
          <w:color w:val="auto"/>
        </w:rPr>
        <w:t>The Company has completed an evaluation of all subsequent events after the audited balance sheet date of December 31, 2016 through June 21, 2017, the date these financial statements were submitted to the SEC, and after the unaudited balance sheet date of June 30, 2017 through August 24, 2017, the date these financial statements were submitted to the SEC, to ensure that these financial statements include appropriate disclosure of events both recognized in the financial statements as of December 31, 2016 and June 30, 2017, and events which occurred subsequently but were not recognized in the financial statements. The Company has concluded that no subsequent events have occurred that require disclosure, except as disclosed within these consolidated financial statements.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42" w:right="319" w:bottom="1440" w:gutter="0" w:footer="0" w:header="0"/>
        </w:sectPr>
      </w:pPr>
    </w:p>
    <w:bookmarkStart w:id="215" w:name="page216"/>
    <w:bookmarkEnd w:id="215"/>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67983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325" cy="6798310"/>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216" w:name="page217"/>
    <w:bookmarkEnd w:id="216"/>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67983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325" cy="6798310"/>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217" w:name="page218"/>
    <w:bookmarkEnd w:id="2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3"/>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2"/>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5"/>
    </w:lvl>
    <w:lvl w:ilvl="1">
      <w:lvlJc w:val="left"/>
      <w:lvlText w:val="(%2)"/>
      <w:numFmt w:val="lowerLetter"/>
      <w:start w:val="5"/>
    </w:lvl>
  </w:abstractNum>
  <w:abstractNum w:abstractNumId="84">
    <w:nsid w:val="5FB8370B"/>
    <w:multiLevelType w:val="hybridMultilevel"/>
    <w:lvl w:ilvl="0">
      <w:lvlJc w:val="left"/>
      <w:lvlText w:val="%1"/>
      <w:numFmt w:val="decimal"/>
      <w:start w:val="1"/>
    </w:lvl>
    <w:lvl w:ilvl="1">
      <w:lvlJc w:val="left"/>
      <w:lvlText w:val="(%2)"/>
      <w:numFmt w:val="lowerLetter"/>
      <w:start w:val="12"/>
    </w:lvl>
  </w:abstractNum>
  <w:abstractNum w:abstractNumId="85">
    <w:nsid w:val="50801EE1"/>
    <w:multiLevelType w:val="hybridMultilevel"/>
    <w:lvl w:ilvl="0">
      <w:lvlJc w:val="left"/>
      <w:lvlText w:val="(%1)"/>
      <w:numFmt w:val="decimal"/>
      <w:start w:val="9"/>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1)"/>
      <w:numFmt w:val="lowerLetter"/>
      <w:start w:val="2"/>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decimal"/>
      <w:start w:val="4"/>
    </w:lvl>
  </w:abstractNum>
  <w:abstractNum w:abstractNumId="103">
    <w:nsid w:val="1FBFE8E0"/>
    <w:multiLevelType w:val="hybridMultilevel"/>
    <w:lvl w:ilvl="0">
      <w:lvlJc w:val="left"/>
      <w:lvlText w:val="%1."/>
      <w:numFmt w:val="decimal"/>
      <w:start w:val="3"/>
    </w:lvl>
  </w:abstractNum>
  <w:abstractNum w:abstractNumId="104">
    <w:nsid w:val="5092CA79"/>
    <w:multiLevelType w:val="hybridMultilevel"/>
    <w:lvl w:ilvl="0">
      <w:lvlJc w:val="left"/>
      <w:lvlText w:val="%1."/>
      <w:numFmt w:val="decimal"/>
      <w:start w:val="5"/>
    </w:lvl>
  </w:abstractNum>
  <w:abstractNum w:abstractNumId="105">
    <w:nsid w:val="1D545C4D"/>
    <w:multiLevelType w:val="hybridMultilevel"/>
    <w:lvl w:ilvl="0">
      <w:lvlJc w:val="left"/>
      <w:lvlText w:val="%1."/>
      <w:numFmt w:val="decimal"/>
      <w:start w:val="5"/>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2019-12-07T12:12:37Z</dcterms:created>
  <dcterms:modified xsi:type="dcterms:W3CDTF">2019-12-07T12:12:37Z</dcterms:modified>
</cp:coreProperties>
</file>