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g-20260507.htm"/>
      <w:bookmarkStart w:id="1" w:name="kscarg20260507"/>
      <w:bookmarkEnd w:id="0"/>
      <w:bookmarkEnd w:id="1"/>
      <w:r>
        <w:rPr/>
        <w:t> </w:t>
      </w:r>
    </w:p>
    <w:p>
      <w:pPr>
        <w:pStyle w:val="TextBody"/>
        <w:pBdr>
          <w:bottom w:val="double" w:sz="4" w:space="1" w:color="000000"/>
        </w:pBdr>
        <w:bidi w:val="0"/>
        <w:jc w:val="both"/>
        <w:rPr/>
      </w:pPr>
      <w:r>
        <w:rPr/>
        <w:t> </w:t>
      </w:r>
    </w:p>
    <w:p>
      <w:pPr>
        <w:pStyle w:val="TextBody"/>
        <w:bidi w:val="0"/>
        <w:jc w:val="left"/>
        <w:rPr/>
      </w:pPr>
      <w:r>
        <w:rPr/>
        <w:t> </w:t>
      </w:r>
    </w:p>
    <w:p>
      <w:pPr>
        <w:pStyle w:val="TextBody"/>
        <w:bidi w:val="0"/>
        <w:jc w:val="center"/>
        <w:rPr>
          <w:rFonts w:ascii="Outfit;sans-serif" w:hAnsi="Outfit;sans-serif"/>
          <w:b/>
          <w:color w:val="000000"/>
          <w:sz w:val="36"/>
        </w:rPr>
      </w:pPr>
      <w:r>
        <w:rPr>
          <w:rFonts w:ascii="Outfit;sans-serif" w:hAnsi="Outfit;sans-serif"/>
          <w:b/>
          <w:color w:val="000000"/>
          <w:sz w:val="36"/>
        </w:rPr>
        <w:t>UNITED STATES</w:t>
      </w:r>
    </w:p>
    <w:p>
      <w:pPr>
        <w:pStyle w:val="TextBody"/>
        <w:bidi w:val="0"/>
        <w:jc w:val="center"/>
        <w:rPr>
          <w:rFonts w:ascii="Outfit;sans-serif" w:hAnsi="Outfit;sans-serif"/>
          <w:b/>
          <w:color w:val="000000"/>
          <w:sz w:val="36"/>
        </w:rPr>
      </w:pPr>
      <w:r>
        <w:rPr>
          <w:rFonts w:ascii="Outfit;sans-serif" w:hAnsi="Outfit;sans-serif"/>
          <w:b/>
          <w:color w:val="000000"/>
          <w:sz w:val="36"/>
        </w:rPr>
        <w:t>SECURITIES AND EXCHANGE COMMISSION</w:t>
      </w:r>
    </w:p>
    <w:p>
      <w:pPr>
        <w:pStyle w:val="TextBody"/>
        <w:bidi w:val="0"/>
        <w:jc w:val="center"/>
        <w:rPr>
          <w:rFonts w:ascii="Calibri" w:hAnsi="Calibri"/>
          <w:sz w:val="20"/>
        </w:rPr>
      </w:pPr>
      <w:r>
        <w:rPr>
          <w:rFonts w:ascii="Outfit;sans-serif" w:hAnsi="Outfit;sans-serif"/>
          <w:b/>
          <w:color w:val="000000"/>
          <w:sz w:val="24"/>
        </w:rPr>
        <w:t>WASHINGTON, D.C. 20549</w:t>
      </w:r>
      <w:r>
        <w:rPr>
          <w:rFonts w:ascii="Calibri" w:hAnsi="Calibri"/>
          <w:color w:val="000000"/>
          <w:sz w:val="20"/>
        </w:rPr>
        <w:t xml:space="preserve"> </w:t>
      </w:r>
    </w:p>
    <w:p>
      <w:pPr>
        <w:pStyle w:val="TextBody"/>
        <w:pBdr>
          <w:bottom w:val="single" w:sz="8" w:space="1" w:color="000000"/>
        </w:pBdr>
        <w:bidi w:val="0"/>
        <w:jc w:val="center"/>
        <w:rPr/>
      </w:pPr>
      <w:r>
        <w:rPr/>
        <w:t> </w:t>
      </w:r>
    </w:p>
    <w:p>
      <w:pPr>
        <w:pStyle w:val="TextBody"/>
        <w:bidi w:val="0"/>
        <w:spacing w:before="180" w:after="283"/>
        <w:jc w:val="center"/>
        <w:rPr>
          <w:rFonts w:ascii="Outfit;sans-serif" w:hAnsi="Outfit;sans-serif"/>
          <w:b/>
          <w:color w:val="000000"/>
          <w:sz w:val="36"/>
        </w:rPr>
      </w:pPr>
      <w:r>
        <w:rPr>
          <w:rFonts w:ascii="Outfit;sans-serif" w:hAnsi="Outfit;sans-serif"/>
          <w:b/>
          <w:color w:val="000000"/>
          <w:sz w:val="36"/>
        </w:rPr>
        <w:t>FORM 8-K</w:t>
      </w:r>
    </w:p>
    <w:p>
      <w:pPr>
        <w:pStyle w:val="TextBody"/>
        <w:bidi w:val="0"/>
        <w:spacing w:before="180" w:after="283"/>
        <w:jc w:val="center"/>
        <w:rPr>
          <w:rFonts w:ascii="Outfit;sans-serif" w:hAnsi="Outfit;sans-serif"/>
          <w:b/>
          <w:color w:val="000000"/>
          <w:sz w:val="24"/>
        </w:rPr>
      </w:pPr>
      <w:r>
        <w:rPr>
          <w:rFonts w:ascii="Outfit;sans-serif" w:hAnsi="Outfit;sans-serif"/>
          <w:b/>
          <w:color w:val="000000"/>
          <w:sz w:val="24"/>
        </w:rPr>
        <w:t>CURRENT REPORT</w:t>
      </w:r>
    </w:p>
    <w:p>
      <w:pPr>
        <w:pStyle w:val="TextBody"/>
        <w:bidi w:val="0"/>
        <w:spacing w:before="180" w:after="283"/>
        <w:jc w:val="center"/>
        <w:rPr>
          <w:rFonts w:ascii="Outfit;sans-serif" w:hAnsi="Outfit;sans-serif"/>
          <w:b/>
          <w:color w:val="000000"/>
          <w:sz w:val="24"/>
        </w:rPr>
      </w:pPr>
      <w:r>
        <w:rPr>
          <w:rFonts w:ascii="Outfit;sans-serif" w:hAnsi="Outfit;sans-serif"/>
          <w:b/>
          <w:color w:val="000000"/>
          <w:sz w:val="24"/>
        </w:rPr>
        <w:t>Pursuant to Section 13 or 15(d) of the Securities Exchange Act of 1934</w:t>
      </w:r>
    </w:p>
    <w:p>
      <w:pPr>
        <w:pStyle w:val="TextBody"/>
        <w:bidi w:val="0"/>
        <w:spacing w:before="180" w:after="283"/>
        <w:jc w:val="center"/>
        <w:rPr>
          <w:rFonts w:ascii="Outfit;sans-serif" w:hAnsi="Outfit;sans-serif"/>
          <w:b/>
          <w:color w:val="000000"/>
          <w:sz w:val="20"/>
        </w:rPr>
      </w:pPr>
      <w:r>
        <w:rPr>
          <w:rFonts w:ascii="Outfit;sans-serif" w:hAnsi="Outfit;sans-serif"/>
          <w:b/>
          <w:color w:val="000000"/>
          <w:sz w:val="20"/>
        </w:rPr>
        <w:t>Date of Report (Date of earliest event reported): May 7, 2026</w:t>
      </w:r>
    </w:p>
    <w:p>
      <w:pPr>
        <w:pStyle w:val="TextBody"/>
        <w:bidi w:val="0"/>
        <w:jc w:val="center"/>
        <w:rPr/>
      </w:pPr>
      <w:r>
        <w:rPr/>
        <w:drawing>
          <wp:inline distT="0" distB="0" distL="0" distR="0">
            <wp:extent cx="15049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247650"/>
                    </a:xfrm>
                    <a:prstGeom prst="rect">
                      <a:avLst/>
                    </a:prstGeom>
                  </pic:spPr>
                </pic:pic>
              </a:graphicData>
            </a:graphic>
          </wp:inline>
        </w:drawing>
      </w:r>
    </w:p>
    <w:p>
      <w:pPr>
        <w:pStyle w:val="TextBody"/>
        <w:bidi w:val="0"/>
        <w:spacing w:before="120" w:after="283"/>
        <w:jc w:val="center"/>
        <w:rPr>
          <w:rFonts w:ascii="Outfit;sans-serif" w:hAnsi="Outfit;sans-serif"/>
          <w:b/>
          <w:color w:val="000000"/>
          <w:sz w:val="36"/>
        </w:rPr>
      </w:pPr>
      <w:r>
        <w:rPr>
          <w:rFonts w:ascii="Outfit;sans-serif" w:hAnsi="Outfit;sans-serif"/>
          <w:b/>
          <w:color w:val="000000"/>
          <w:sz w:val="36"/>
        </w:rPr>
        <w:t>CarGurus, Inc.</w:t>
      </w:r>
    </w:p>
    <w:p>
      <w:pPr>
        <w:pStyle w:val="TextBody"/>
        <w:bidi w:val="0"/>
        <w:jc w:val="center"/>
        <w:rPr>
          <w:rFonts w:ascii="Outfit;sans-serif" w:hAnsi="Outfit;sans-serif"/>
          <w:b/>
          <w:color w:val="000000"/>
          <w:sz w:val="16"/>
        </w:rPr>
      </w:pPr>
      <w:r>
        <w:rPr>
          <w:rFonts w:ascii="Outfit;sans-serif" w:hAnsi="Outfit;sans-serif"/>
          <w:b/>
          <w:color w:val="000000"/>
          <w:sz w:val="16"/>
        </w:rPr>
        <w:t>(Exact name of Registrant as Specified in Its Charter)</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641"/>
        <w:gridCol w:w="2581"/>
        <w:gridCol w:w="1846"/>
      </w:tblGrid>
      <w:tr>
        <w:trPr/>
        <w:tc>
          <w:tcPr>
            <w:tcW w:w="264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Delaware</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001-38233</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04-3843478</w:t>
            </w:r>
          </w:p>
        </w:tc>
      </w:tr>
      <w:tr>
        <w:trPr/>
        <w:tc>
          <w:tcPr>
            <w:tcW w:w="2641"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(State or Other Jurisdiction</w:t>
            </w:r>
          </w:p>
          <w:p>
            <w:pPr>
              <w:pStyle w:val="TableContents"/>
              <w:bidi w:val="0"/>
              <w:spacing w:before="0" w:after="15"/>
              <w:jc w:val="center"/>
              <w:rPr>
                <w:rFonts w:ascii="Outfit;sans-serif" w:hAnsi="Outfit;sans-serif"/>
                <w:b/>
                <w:color w:val="000000"/>
                <w:sz w:val="16"/>
              </w:rPr>
            </w:pPr>
            <w:r>
              <w:rPr>
                <w:rFonts w:ascii="Outfit;sans-serif" w:hAnsi="Outfit;sans-serif"/>
                <w:b/>
                <w:color w:val="000000"/>
                <w:sz w:val="16"/>
              </w:rPr>
              <w:t>of Incorporation)</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(Commission File Number)</w:t>
            </w:r>
          </w:p>
        </w:tc>
        <w:tc>
          <w:tcPr>
            <w:tcW w:w="1846"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(IRS Employer</w:t>
            </w:r>
          </w:p>
          <w:p>
            <w:pPr>
              <w:pStyle w:val="TableContents"/>
              <w:bidi w:val="0"/>
              <w:spacing w:before="0" w:after="15"/>
              <w:jc w:val="center"/>
              <w:rPr>
                <w:rFonts w:ascii="Outfit;sans-serif" w:hAnsi="Outfit;sans-serif"/>
                <w:b/>
                <w:color w:val="000000"/>
                <w:sz w:val="16"/>
              </w:rPr>
            </w:pPr>
            <w:r>
              <w:rPr>
                <w:rFonts w:ascii="Outfit;sans-serif" w:hAnsi="Outfit;sans-serif"/>
                <w:b/>
                <w:color w:val="000000"/>
                <w:sz w:val="16"/>
              </w:rPr>
              <w:t>Identification No.)</w:t>
            </w:r>
          </w:p>
        </w:tc>
      </w:tr>
    </w:tbl>
    <w:p>
      <w:pPr>
        <w:pStyle w:val="TextBody"/>
        <w:bidi w:val="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jc w:val="center"/>
              <w:rPr>
                <w:rFonts w:ascii="Calibri" w:hAnsi="Calibri"/>
                <w:sz w:val="20"/>
              </w:rPr>
            </w:pPr>
            <w:r>
              <w:rPr>
                <w:rFonts w:ascii="Outfit;sans-serif" w:hAnsi="Outfit;sans-serif"/>
                <w:b/>
                <w:color w:val="000000"/>
                <w:sz w:val="20"/>
              </w:rPr>
              <w:t>1001 Boylston Street, 16</w:t>
            </w:r>
            <w:r>
              <w:rPr>
                <w:rFonts w:ascii="Outfit;sans-serif" w:hAnsi="Outfit;sans-serif"/>
                <w:b/>
                <w:color w:val="000000"/>
                <w:sz w:val="13"/>
              </w:rPr>
              <w:t>th</w:t>
            </w:r>
            <w:r>
              <w:rPr>
                <w:rFonts w:ascii="Outfit;sans-serif" w:hAnsi="Outfit;sans-serif"/>
                <w:color w:val="000000"/>
                <w:sz w:val="20"/>
              </w:rPr>
              <w:t xml:space="preserve"> </w:t>
            </w:r>
            <w:r>
              <w:rPr>
                <w:rFonts w:ascii="Outfit;sans-serif" w:hAnsi="Outfit;sans-serif"/>
                <w:b/>
                <w:color w:val="000000"/>
                <w:sz w:val="20"/>
              </w:rPr>
              <w:t>Floor</w:t>
            </w:r>
          </w:p>
          <w:p>
            <w:pPr>
              <w:pStyle w:val="TableContents"/>
              <w:bidi w:val="0"/>
              <w:spacing w:before="0" w:after="15"/>
              <w:jc w:val="center"/>
              <w:rPr>
                <w:rFonts w:ascii="Calibri" w:hAnsi="Calibri"/>
                <w:sz w:val="24"/>
              </w:rPr>
            </w:pPr>
            <w:r>
              <w:rPr>
                <w:rFonts w:ascii="Outfit;sans-serif" w:hAnsi="Outfit;sans-serif"/>
                <w:b/>
                <w:color w:val="000000"/>
                <w:sz w:val="20"/>
              </w:rPr>
              <w:t>Boston, Massachusetts</w:t>
            </w:r>
            <w:r>
              <w:rPr>
                <w:rFonts w:ascii="Calibri" w:hAnsi="Calibri"/>
                <w:color w:val="000000"/>
                <w:sz w:val="24"/>
              </w:rPr>
              <w:t xml:space="preserve"> </w:t>
            </w:r>
            <w:r>
              <w:rPr>
                <w:rFonts w:ascii="Outfit;sans-serif" w:hAnsi="Outfit;sans-serif"/>
                <w:b/>
                <w:color w:val="000000"/>
                <w:sz w:val="20"/>
              </w:rPr>
              <w:t>02115</w:t>
            </w:r>
          </w:p>
        </w:tc>
      </w:tr>
      <w:tr>
        <w:trPr/>
        <w:tc>
          <w:tcPr>
            <w:tcW w:w="3871"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(Address of Principal Executive Offices)</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(Zip Code)</w:t>
            </w:r>
          </w:p>
        </w:tc>
      </w:tr>
    </w:tbl>
    <w:p>
      <w:pPr>
        <w:pStyle w:val="TextBody"/>
        <w:bidi w:val="0"/>
        <w:spacing w:before="180" w:after="283"/>
        <w:jc w:val="center"/>
        <w:rPr>
          <w:rFonts w:ascii="Calibri" w:hAnsi="Calibri"/>
          <w:sz w:val="20"/>
        </w:rPr>
      </w:pPr>
      <w:r>
        <w:rPr>
          <w:rFonts w:ascii="Outfit;sans-serif" w:hAnsi="Outfit;sans-serif"/>
          <w:b/>
          <w:color w:val="000000"/>
          <w:sz w:val="20"/>
        </w:rPr>
        <w:t>Registrant’s Telephone Number, Including Area Code: (617)</w:t>
      </w:r>
      <w:r>
        <w:rPr>
          <w:rFonts w:ascii="Calibri" w:hAnsi="Calibri"/>
          <w:color w:val="000000"/>
          <w:sz w:val="20"/>
        </w:rPr>
        <w:t xml:space="preserve"> </w:t>
      </w:r>
      <w:r>
        <w:rPr>
          <w:rFonts w:ascii="Outfit;sans-serif" w:hAnsi="Outfit;sans-serif"/>
          <w:b/>
          <w:color w:val="000000"/>
          <w:sz w:val="20"/>
        </w:rPr>
        <w:t>354-0068</w:t>
      </w:r>
    </w:p>
    <w:p>
      <w:pPr>
        <w:pStyle w:val="TextBody"/>
        <w:bidi w:val="0"/>
        <w:spacing w:before="180" w:after="283"/>
        <w:jc w:val="left"/>
        <w:rPr>
          <w:rFonts w:ascii="Calibri" w:hAnsi="Calibri"/>
          <w:sz w:val="20"/>
        </w:rPr>
      </w:pPr>
      <w:r>
        <w:rPr>
          <w:rFonts w:ascii="Outfit;sans-serif" w:hAnsi="Outfit;sans-serif"/>
          <w:color w:val="000000"/>
          <w:sz w:val="20"/>
        </w:rPr>
        <w:t>Check the appropriate box below if the Form 8-K filing is intended to simultaneously satisfy the filing obligation of the registrant under any of the following provisions:</w:t>
      </w:r>
      <w:r>
        <w:rPr>
          <w:rFonts w:ascii="Calibri" w:hAnsi="Calibr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20"/>
              </w:rPr>
              <w:t>Written communications pursuant to Rule 425 under the Securities Act (17 CFR 230.425)</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Soliciting material pursuant to Rule 14a-12 under the Exchange Act (17 CFR 240.14a-12)</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Pre-commencement communications pursuant to Rule 14d-2(b) under the Exchange Act (17 CFR 240.14d-2(b))</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Pre-commencement communications pursuant to Rule 13e-4(c) under the Exchange Act (17 CFR 240.13e-4(c))</w:t>
            </w:r>
            <w:r>
              <w:rPr>
                <w:rFonts w:ascii="Calibri" w:hAnsi="Calibri"/>
                <w:color w:val="000000"/>
                <w:sz w:val="20"/>
              </w:rPr>
              <w:t xml:space="preserve"> </w:t>
            </w:r>
          </w:p>
        </w:tc>
      </w:tr>
    </w:tbl>
    <w:p>
      <w:pPr>
        <w:pStyle w:val="TextBody"/>
        <w:bidi w:val="0"/>
        <w:spacing w:before="180" w:after="283"/>
        <w:jc w:val="left"/>
        <w:rPr>
          <w:rFonts w:ascii="Outfit;sans-serif" w:hAnsi="Outfit;sans-serif"/>
          <w:color w:val="000000"/>
          <w:sz w:val="20"/>
        </w:rPr>
      </w:pPr>
      <w:r>
        <w:rPr>
          <w:rFonts w:ascii="Outfit;sans-serif" w:hAnsi="Outfit;sans-serif"/>
          <w:color w:val="000000"/>
          <w:sz w:val="20"/>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2731"/>
        <w:gridCol w:w="146"/>
        <w:gridCol w:w="1051"/>
        <w:gridCol w:w="146"/>
        <w:gridCol w:w="427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Trading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sz w:val="20"/>
              </w:rPr>
            </w:pPr>
            <w:r>
              <w:rPr>
                <w:rFonts w:ascii="Outfit;sans-serif" w:hAnsi="Outfit;sans-serif"/>
                <w:color w:val="000000"/>
                <w:sz w:val="20"/>
              </w:rPr>
              <w:t>Class A Common Stock,</w:t>
            </w:r>
            <w:r>
              <w:rPr>
                <w:rFonts w:ascii="Outfit;sans-serif" w:hAnsi="Outfit;sans-serif"/>
                <w:color w:val="2E2E2E"/>
                <w:sz w:val="20"/>
              </w:rPr>
              <w:t xml:space="preserve"> </w:t>
              <w:br/>
            </w:r>
            <w:r>
              <w:rPr>
                <w:rFonts w:ascii="Outfit;sans-serif" w:hAnsi="Outfit;sans-serif"/>
                <w:color w:val="000000"/>
                <w:sz w:val="20"/>
              </w:rPr>
              <w:t>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CARG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The Nasdaq Stock Market LLC</w:t>
              <w:br/>
              <w:t>(Nasdaq Global Select Market)</w:t>
            </w:r>
          </w:p>
        </w:tc>
      </w:tr>
    </w:tbl>
    <w:p>
      <w:pPr>
        <w:pStyle w:val="TextBody"/>
        <w:bidi w:val="0"/>
        <w:spacing w:before="180" w:after="283"/>
        <w:jc w:val="left"/>
        <w:rPr>
          <w:rFonts w:ascii="Outfit;sans-serif" w:hAnsi="Outfit;sans-serif"/>
          <w:color w:val="000000"/>
          <w:sz w:val="20"/>
        </w:rPr>
      </w:pPr>
      <w:r>
        <w:rPr>
          <w:rFonts w:ascii="Outfit;sans-serif" w:hAnsi="Outfit;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Calibri" w:hAnsi="Calibri"/>
          <w:sz w:val="20"/>
        </w:rPr>
      </w:pPr>
      <w:r>
        <w:rPr>
          <w:rFonts w:ascii="Outfit;sans-serif" w:hAnsi="Outfit;sans-serif"/>
          <w:color w:val="000000"/>
          <w:sz w:val="20"/>
        </w:rPr>
        <w:t xml:space="preserve">Emerging growth company </w:t>
      </w:r>
      <w:r>
        <w:rPr>
          <w:rFonts w:ascii="Calibri" w:hAnsi="Calibri"/>
          <w:color w:val="000000"/>
          <w:sz w:val="20"/>
        </w:rPr>
        <w:t>☐</w:t>
      </w:r>
    </w:p>
    <w:p>
      <w:pPr>
        <w:pStyle w:val="TextBody"/>
        <w:bidi w:val="0"/>
        <w:spacing w:before="180" w:after="283"/>
        <w:jc w:val="left"/>
        <w:rPr>
          <w:rFonts w:ascii="Outfit;sans-serif" w:hAnsi="Outfit;sans-serif"/>
          <w:color w:val="000000"/>
          <w:sz w:val="20"/>
        </w:rPr>
      </w:pPr>
      <w:r>
        <w:rPr>
          <w:rFonts w:ascii="Outfit;sans-serif" w:hAnsi="Outfit;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Calibri" w:hAnsi="Calibri"/>
          <w:sz w:val="20"/>
        </w:rPr>
      </w:pPr>
      <w:r>
        <w:rPr>
          <w:rFonts w:ascii="Outfit;sans-serif" w:hAnsi="Outfit;sans-serif"/>
          <w:b/>
          <w:color w:val="3465B0"/>
          <w:sz w:val="20"/>
        </w:rPr>
        <w:t>Item 2.02</w:t>
      </w:r>
      <w:r>
        <w:rPr>
          <w:rFonts w:ascii="Calibri" w:hAnsi="Calibri"/>
          <w:color w:val="3465B0"/>
          <w:sz w:val="20"/>
        </w:rPr>
        <w:t xml:space="preserve"> </w:t>
      </w:r>
      <w:r>
        <w:rPr>
          <w:rFonts w:ascii="Outfit;sans-serif" w:hAnsi="Outfit;sans-serif"/>
          <w:b/>
          <w:color w:val="3465B0"/>
          <w:sz w:val="20"/>
        </w:rPr>
        <w:t>Results of Operations and Financial Condition.</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On May 7, 2026, CarGurus, Inc. (the “Company”) announced its financial results for the quarter ended March 31, 2026. The full text of the press release issued by the Company in connection with the announcement is furnished as Exhibit 99.1 to this Current Report on Form 8-K.</w:t>
      </w:r>
    </w:p>
    <w:p>
      <w:pPr>
        <w:pStyle w:val="TextBody"/>
        <w:bidi w:val="0"/>
        <w:spacing w:before="200" w:after="283"/>
        <w:jc w:val="both"/>
        <w:rPr>
          <w:rFonts w:ascii="Outfit;sans-serif" w:hAnsi="Outfit;sans-serif"/>
          <w:color w:val="000000"/>
          <w:sz w:val="20"/>
        </w:rPr>
      </w:pPr>
      <w:r>
        <w:rPr>
          <w:rFonts w:ascii="Outfit;sans-serif" w:hAnsi="Outfit;sans-serif"/>
          <w:color w:val="000000"/>
          <w:sz w:val="20"/>
        </w:rPr>
        <w:t>The press release attached as Exhibit 99.1 hereto is being furnished pursuant to Item 2.02 of this Current Report on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jc w:val="left"/>
        <w:rPr/>
      </w:pPr>
      <w:r>
        <w:rPr/>
        <w:t> </w:t>
      </w:r>
    </w:p>
    <w:p>
      <w:pPr>
        <w:pStyle w:val="TextBody"/>
        <w:bidi w:val="0"/>
        <w:jc w:val="left"/>
        <w:rPr>
          <w:rFonts w:ascii="Calibri" w:hAnsi="Calibri"/>
          <w:sz w:val="20"/>
        </w:rPr>
      </w:pPr>
      <w:r>
        <w:rPr>
          <w:rFonts w:ascii="Outfit;sans-serif" w:hAnsi="Outfit;sans-serif"/>
          <w:b/>
          <w:color w:val="3465B0"/>
          <w:sz w:val="20"/>
        </w:rPr>
        <w:t>Item 9.01</w:t>
      </w:r>
      <w:r>
        <w:rPr>
          <w:rFonts w:ascii="Calibri" w:hAnsi="Calibri"/>
          <w:color w:val="3465B0"/>
          <w:sz w:val="20"/>
        </w:rPr>
        <w:t xml:space="preserve"> </w:t>
      </w:r>
      <w:r>
        <w:rPr>
          <w:rFonts w:ascii="Outfit;sans-serif" w:hAnsi="Outfit;sans-serif"/>
          <w:b/>
          <w:color w:val="3465B0"/>
          <w:sz w:val="20"/>
        </w:rPr>
        <w:t>Financial Statements and Exhibits.</w:t>
      </w:r>
    </w:p>
    <w:p>
      <w:pPr>
        <w:pStyle w:val="TextBody"/>
        <w:bidi w:val="0"/>
        <w:spacing w:before="120" w:after="283"/>
        <w:jc w:val="left"/>
        <w:rPr>
          <w:rFonts w:ascii="Outfit;sans-serif" w:hAnsi="Outfit;sans-serif"/>
          <w:b/>
          <w:color w:val="3465B0"/>
          <w:sz w:val="20"/>
        </w:rPr>
      </w:pPr>
      <w:r>
        <w:rPr>
          <w:rFonts w:ascii="Outfit;sans-serif" w:hAnsi="Outfit;sans-serif"/>
          <w:b/>
          <w:color w:val="3465B0"/>
          <w:sz w:val="20"/>
        </w:rPr>
        <w:t>(d) Exhibits.</w:t>
      </w:r>
    </w:p>
    <w:p>
      <w:pPr>
        <w:pStyle w:val="TextBody"/>
        <w:bidi w:val="0"/>
        <w:jc w:val="left"/>
        <w:rPr/>
      </w:pPr>
      <w:r>
        <w:rPr/>
        <w:t> </w:t>
      </w:r>
    </w:p>
    <w:tbl>
      <w:tblPr>
        <w:tblW w:w="9298" w:type="dxa"/>
        <w:jc w:val="left"/>
        <w:tblInd w:w="0" w:type="dxa"/>
        <w:tblLayout w:type="fixed"/>
        <w:tblCellMar>
          <w:top w:w="28" w:type="dxa"/>
          <w:left w:w="28" w:type="dxa"/>
          <w:bottom w:w="28" w:type="dxa"/>
          <w:right w:w="28" w:type="dxa"/>
        </w:tblCellMar>
      </w:tblPr>
      <w:tblGrid>
        <w:gridCol w:w="1306"/>
        <w:gridCol w:w="146"/>
        <w:gridCol w:w="784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Outfit;sans-serif" w:hAnsi="Outfit;sans-serif"/>
                <w:b/>
                <w:color w:val="000000"/>
                <w:sz w:val="20"/>
              </w:rPr>
            </w:pPr>
            <w:r>
              <w:rPr>
                <w:rFonts w:ascii="Outfit;sans-serif" w:hAnsi="Outfit;sans-serif"/>
                <w:b/>
                <w:color w:val="000000"/>
                <w:sz w:val="20"/>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Outfit;sans-serif" w:hAnsi="Outfit;sans-serif"/>
                <w:b/>
                <w:color w:val="000000"/>
                <w:sz w:val="20"/>
              </w:rPr>
            </w:pPr>
            <w:r>
              <w:rPr>
                <w:rFonts w:ascii="Outfit;sans-serif" w:hAnsi="Outfit;sans-serif"/>
                <w:b/>
                <w:color w:val="000000"/>
                <w:sz w:val="20"/>
              </w:rPr>
              <w:t>Description</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g-ex99_1.htm">
              <w:r>
                <w:rPr>
                  <w:rStyle w:val="InternetLink"/>
                  <w:rFonts w:ascii="Outfit;sans-serif" w:hAnsi="Outfit;sans-serif"/>
                  <w:color w:val="0000FF"/>
                  <w:sz w:val="20"/>
                  <w:u w:val="single"/>
                </w:rPr>
                <w:t>Press Release of CarGurus, Inc., dated May 7, 2026.</w:t>
              </w:r>
            </w:hyperlink>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Outfit;sans-serif" w:hAnsi="Outfit;sans-serif"/>
          <w:b/>
          <w:color w:val="000000"/>
          <w:sz w:val="24"/>
        </w:rPr>
      </w:pPr>
      <w:r>
        <w:rPr>
          <w:rFonts w:ascii="Outfit;sans-serif" w:hAnsi="Outfit;sans-serif"/>
          <w:b/>
          <w:color w:val="000000"/>
          <w:sz w:val="24"/>
        </w:rPr>
        <w:t>SIGNATURES</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891"/>
        <w:gridCol w:w="109"/>
        <w:gridCol w:w="421"/>
        <w:gridCol w:w="294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29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Name: Jason Trevisan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2" w:name="carg-ex99_1.htm"/>
      <w:bookmarkStart w:id="3" w:name="kscargex99_1"/>
      <w:bookmarkEnd w:id="2"/>
      <w:bookmarkEnd w:id="3"/>
      <w:r>
        <w:rPr>
          <w:rFonts w:ascii="sans-serif" w:hAnsi="sans-serif"/>
          <w:color w:val="000000"/>
          <w:sz w:val="20"/>
        </w:rPr>
        <w:t>Exhibit 99.1</w:t>
      </w:r>
      <w:r>
        <w:br w:type="page"/>
      </w:r>
    </w:p>
    <w:p>
      <w:pPr>
        <w:pStyle w:val="TextBody"/>
        <w:bidi w:val="0"/>
        <w:jc w:val="left"/>
        <w:rPr/>
      </w:pPr>
      <w:r>
        <w:rPr/>
        <w:t> </w:t>
      </w:r>
    </w:p>
    <w:p>
      <w:pPr>
        <w:pStyle w:val="TextBody"/>
        <w:bidi w:val="0"/>
        <w:jc w:val="left"/>
        <w:rPr/>
      </w:pPr>
      <w:r>
        <w:rPr/>
        <w:drawing>
          <wp:inline distT="0" distB="0" distL="0" distR="0">
            <wp:extent cx="28384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457200"/>
                    </a:xfrm>
                    <a:prstGeom prst="rect">
                      <a:avLst/>
                    </a:prstGeom>
                  </pic:spPr>
                </pic:pic>
              </a:graphicData>
            </a:graphic>
          </wp:inline>
        </w:drawing>
      </w:r>
    </w:p>
    <w:p>
      <w:pPr>
        <w:pStyle w:val="TextBody"/>
        <w:pBdr>
          <w:bottom w:val="single" w:sz="12" w:space="1" w:color="3465B0"/>
        </w:pBdr>
        <w:bidi w:val="0"/>
        <w:jc w:val="both"/>
        <w:rPr/>
      </w:pPr>
      <w:r>
        <w:rPr/>
        <w:t> </w:t>
      </w:r>
    </w:p>
    <w:p>
      <w:pPr>
        <w:pStyle w:val="Heading1"/>
        <w:bidi w:val="0"/>
        <w:jc w:val="center"/>
        <w:rPr>
          <w:rFonts w:ascii="Outfit;sans-serif" w:hAnsi="Outfit;sans-serif"/>
          <w:color w:val="3465B0"/>
          <w:sz w:val="36"/>
        </w:rPr>
      </w:pPr>
      <w:r>
        <w:rPr>
          <w:rFonts w:ascii="Outfit;sans-serif" w:hAnsi="Outfit;sans-serif"/>
          <w:color w:val="3465B0"/>
          <w:sz w:val="36"/>
        </w:rPr>
        <w:t>CarGurus Announces First Quarter 2026 Results</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Q1’26 revenue grew 15% YoY to $244 million, at the midpoint of our guidance range</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Q1’26 GAAP Net Income from continuing operations of $32.2 million, down 23% YoY; Non-GAAP Adjusted EBITDA from continuing operations of $80.2 million, above the high end of our guidance range</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Repurchased $175 million worth of shares in Q1’26; total repurchases since December 2022 represent 29% of shares outstanding</w:t>
      </w:r>
    </w:p>
    <w:p>
      <w:pPr>
        <w:pStyle w:val="TextBody"/>
        <w:bidi w:val="0"/>
        <w:spacing w:before="240" w:after="283"/>
        <w:jc w:val="both"/>
        <w:rPr>
          <w:rFonts w:ascii="Calibri" w:hAnsi="Calibri"/>
          <w:sz w:val="20"/>
        </w:rPr>
      </w:pPr>
      <w:r>
        <w:rPr>
          <w:rFonts w:ascii="Outfit;sans-serif" w:hAnsi="Outfit;sans-serif"/>
          <w:color w:val="00002D"/>
          <w:sz w:val="20"/>
        </w:rPr>
        <w:t>BOSTON, May 7, 2026 - CarGurus, Inc. (Nasdaq: CARG), the No. 1 visited automotive shopping site in the U.S.</w:t>
      </w:r>
      <w:r>
        <w:rPr>
          <w:rFonts w:ascii="Outfit;sans-serif" w:hAnsi="Outfit;sans-serif"/>
          <w:color w:val="00002D"/>
          <w:sz w:val="13"/>
        </w:rPr>
        <w:t>1</w:t>
      </w:r>
      <w:r>
        <w:rPr>
          <w:rFonts w:ascii="Outfit;sans-serif" w:hAnsi="Outfit;sans-serif"/>
          <w:color w:val="00002D"/>
          <w:sz w:val="20"/>
        </w:rPr>
        <w:t>, today announced financial results for the first quarter ended March 31, 2026.</w:t>
      </w:r>
    </w:p>
    <w:p>
      <w:pPr>
        <w:pStyle w:val="TextBody"/>
        <w:bidi w:val="0"/>
        <w:spacing w:before="240" w:after="283"/>
        <w:jc w:val="both"/>
        <w:rPr>
          <w:color w:val="00002D"/>
        </w:rPr>
      </w:pPr>
      <w:r>
        <w:rPr>
          <w:color w:val="00002D"/>
        </w:rPr>
        <w:t>“</w:t>
      </w:r>
      <w:r>
        <w:rPr>
          <w:rFonts w:ascii="Outfit;sans-serif" w:hAnsi="Outfit;sans-serif"/>
          <w:color w:val="00002D"/>
          <w:sz w:val="20"/>
        </w:rPr>
        <w:t>We are pleased with our first quarter results, as we sustained our momentum with revenue growing 15% year-over-year as we continued to invest in AI-led product innovation across dealer pillars and the consumer journey,” said Jason Trevisan, Chief Executive Officer at CarGurus. "We are embedding data and predictive intelligence more directly into dealer decision-making across inventory, marketing, and lead conversion while transforming the consumer experience with AI-powered solutions that help consumers shop with greater confidence. We believe that our product innovation engine positions us well to extend our leadership and sustain long-term growth.”</w:t>
      </w:r>
    </w:p>
    <w:p>
      <w:pPr>
        <w:pStyle w:val="TextBody"/>
        <w:bidi w:val="0"/>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First Quarter Financial Highlights</w:t>
      </w:r>
    </w:p>
    <w:p>
      <w:pPr>
        <w:pStyle w:val="TextBody"/>
        <w:bidi w:val="0"/>
        <w:spacing w:before="240" w:after="283"/>
        <w:jc w:val="both"/>
        <w:rPr>
          <w:rFonts w:ascii="Calibri" w:hAnsi="Calibri"/>
          <w:sz w:val="20"/>
        </w:rPr>
      </w:pPr>
      <w:r>
        <w:rPr>
          <w:rFonts w:ascii="Outfit;sans-serif" w:hAnsi="Outfit;sans-serif"/>
          <w:color w:val="00002D"/>
          <w:sz w:val="20"/>
        </w:rPr>
        <w:t>Below are our financial highlights from continuing operations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for the three months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75"/>
        <w:gridCol w:w="346"/>
        <w:gridCol w:w="262"/>
        <w:gridCol w:w="783"/>
        <w:gridCol w:w="346"/>
        <w:gridCol w:w="346"/>
        <w:gridCol w:w="503"/>
        <w:gridCol w:w="1613"/>
        <w:gridCol w:w="431"/>
      </w:tblGrid>
      <w:tr>
        <w:trPr/>
        <w:tc>
          <w:tcPr>
            <w:tcW w:w="55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 2026</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 xml:space="preserve">Results </w:t>
              <w:br/>
            </w:r>
            <w:r>
              <w:rPr>
                <w:rFonts w:ascii="Outfit;sans-serif" w:hAnsi="Outfit;sans-serif"/>
                <w:i/>
                <w:color w:val="000000"/>
                <w:sz w:val="16"/>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Variance from Prior Year</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243.6</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15</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Gross Profit </w:t>
            </w:r>
            <w:r>
              <w:rPr>
                <w:rFonts w:ascii="Outfit;sans-serif" w:hAnsi="Outfit;sans-serif"/>
                <w:b/>
                <w:color w:val="000000"/>
                <w:sz w:val="13"/>
              </w:rPr>
              <w:t>(2)</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224.6</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14</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(102) bps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Operating Expenses </w:t>
            </w:r>
            <w:r>
              <w:rPr>
                <w:rFonts w:ascii="Outfit;sans-serif" w:hAnsi="Outfit;sans-serif"/>
                <w:b/>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184.5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25</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GAAP Net Income from continuing operations </w:t>
            </w:r>
            <w:r>
              <w:rPr>
                <w:rFonts w:ascii="Outfit;sans-serif" w:hAnsi="Outfit;sans-serif"/>
                <w:b/>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(23</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 Margin</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13</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(659) bps</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Non-GAAP Adjusted EBITDA from continuing operations </w:t>
            </w:r>
            <w:r>
              <w:rPr>
                <w:rFonts w:ascii="Outfit;sans-serif" w:hAnsi="Outfit;sans-serif"/>
                <w:b/>
                <w:color w:val="000000"/>
                <w:sz w:val="13"/>
              </w:rPr>
              <w:t>(3)</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80.2</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17</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i/>
                <w:color w:val="000000"/>
                <w:sz w:val="20"/>
              </w:rPr>
              <w:t xml:space="preserve">% Margin </w:t>
            </w:r>
            <w:r>
              <w:rPr>
                <w:rFonts w:ascii="Outfit;sans-serif" w:hAnsi="Outfit;sans-serif"/>
                <w:i/>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56 bps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7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Cash and Cash Equivalents at period end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72.0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(62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bl>
    <w:p>
      <w:pPr>
        <w:pStyle w:val="TextBody"/>
        <w:bidi w:val="0"/>
        <w:spacing w:before="2" w:after="283"/>
        <w:jc w:val="both"/>
        <w:rPr/>
      </w:pPr>
      <w:r>
        <w:rPr/>
        <w:t> </w:t>
      </w:r>
    </w:p>
    <w:p>
      <w:pPr>
        <w:pStyle w:val="TextBody"/>
        <w:bidi w:val="0"/>
        <w:spacing w:before="2" w:after="283"/>
        <w:jc w:val="both"/>
        <w:rPr>
          <w:rFonts w:ascii="Outfit" w:hAnsi="Outfit"/>
          <w:color w:val="00002D"/>
          <w:sz w:val="16"/>
        </w:rPr>
      </w:pPr>
      <w:r>
        <w:rPr>
          <w:rFonts w:ascii="Outfit" w:hAnsi="Outfit"/>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In August 2025 the Board of Directors of CarGurus approved the wind-down of CarOffer, LLC (“CarOffer”), which was completed as of December 31, 2025. We have presented the financial results of CarOffer as discontinued operations in the Unaudited Condensed Consolidated Financial Statements. No assets or liabilities were classified as discontinued operations as of March 31, 2026 or December 31, 2025. No results of operations were classified as discontinued operations for the three months ended March 31, 2026. The Unaudited Condensed Consolidated Income Statement for the three months ended March 31, 2025, was derived from the Unaudited Condensed Consolidated Income Statement of CarGurus, Inc. as of that date, adjusted for the reclassification of discontinued operations. The Unaudited Condensed Consolidated Statement of Cash Flows as of March 31, 2025, related to discontinued operations has not been separately reclassified and are included within the period referenced.</w:t>
      </w:r>
    </w:p>
    <w:p>
      <w:pPr>
        <w:pStyle w:val="TextBody"/>
        <w:bidi w:val="0"/>
        <w:spacing w:before="2" w:after="283"/>
        <w:jc w:val="both"/>
        <w:rPr>
          <w:rFonts w:ascii="Outfit" w:hAnsi="Outfit"/>
          <w:color w:val="00002D"/>
          <w:sz w:val="16"/>
        </w:rPr>
      </w:pPr>
      <w:r>
        <w:rPr>
          <w:rFonts w:ascii="Outfit" w:hAnsi="Outfit"/>
          <w:color w:val="00002D"/>
          <w:sz w:val="16"/>
        </w:rPr>
        <w:t>(2)</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During the three months ended March 31, 2026, we recorded $19.7 million of impairments, inclusive of $0.5 million recorded to cost of revenue and $19.2 million recorded to operating expenses. During the three months ended March 31, 2025, there was no impairment recorded.</w:t>
      </w:r>
    </w:p>
    <w:p>
      <w:pPr>
        <w:pStyle w:val="TextBody"/>
        <w:bidi w:val="0"/>
        <w:spacing w:before="2" w:after="283"/>
        <w:jc w:val="both"/>
        <w:rPr>
          <w:rFonts w:ascii="Outfit" w:hAnsi="Outfit"/>
          <w:color w:val="00002D"/>
          <w:sz w:val="16"/>
        </w:rPr>
      </w:pPr>
      <w:r>
        <w:rPr>
          <w:rFonts w:ascii="Outfit" w:hAnsi="Outfit"/>
          <w:color w:val="00002D"/>
          <w:sz w:val="16"/>
        </w:rPr>
        <w:t>(3)</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For more information regarding our use of non-GAAP Adjusted EBITDA from continuing operations and other non-GAAP financial measures, please see the reconciliations of GAAP financial measures to non-GAAP financial measures and the section titled “Non-GAAP Financial Measures and Other Business Metrics” below.</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3481"/>
        <w:gridCol w:w="146"/>
        <w:gridCol w:w="261"/>
        <w:gridCol w:w="928"/>
        <w:gridCol w:w="158"/>
        <w:gridCol w:w="158"/>
        <w:gridCol w:w="705"/>
        <w:gridCol w:w="1680"/>
        <w:gridCol w:w="446"/>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Results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Variance from Prior Year</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Key Performance Indicators </w:t>
            </w:r>
            <w:r>
              <w:rPr>
                <w:rFonts w:ascii="Outfit;sans-serif" w:hAnsi="Outfit;sans-serif"/>
                <w:b/>
                <w:color w:val="000000"/>
                <w:sz w:val="13"/>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U.S. Paying Dealers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26,116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348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International Paying Dealers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8,480</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Total Paying Dealers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34,596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b/>
                <w:color w:val="000000"/>
                <w:sz w:val="20"/>
              </w:rPr>
            </w:pPr>
            <w:r>
              <w:rPr>
                <w:rFonts w:ascii="Outfit;sans-serif" w:hAnsi="Outfit;sans-serif"/>
                <w:b/>
                <w:color w:val="000000"/>
                <w:sz w:val="20"/>
              </w:rPr>
              <w:t>%</w:t>
            </w:r>
          </w:p>
        </w:tc>
      </w:tr>
      <w:tr>
        <w:trPr/>
        <w:tc>
          <w:tcPr>
            <w:tcW w:w="348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QARSD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 QARSD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2,468</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4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Consolidated QARSD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6,647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bl>
    <w:p>
      <w:pPr>
        <w:pStyle w:val="TextBody"/>
        <w:bidi w:val="0"/>
        <w:spacing w:before="2" w:after="283"/>
        <w:jc w:val="both"/>
        <w:rPr>
          <w:rFonts w:ascii="Outfit" w:hAnsi="Outfit"/>
          <w:color w:val="00002D"/>
          <w:sz w:val="16"/>
        </w:rPr>
      </w:pPr>
      <w:r>
        <w:rPr>
          <w:rFonts w:ascii="Outfit" w:hAnsi="Outfit"/>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For more information regarding our use of Key Performance Indicators, please see the section titled “Non-GAAP Financial Measures and Other Business Metrics” below.</w:t>
      </w:r>
    </w:p>
    <w:p>
      <w:pPr>
        <w:pStyle w:val="TextBody"/>
        <w:bidi w:val="0"/>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 w:hAnsi="Calibri"/>
          <w:sz w:val="24"/>
        </w:rPr>
      </w:pPr>
      <w:r>
        <w:rPr>
          <w:rFonts w:ascii="Outfit;sans-serif" w:hAnsi="Outfit;sans-serif"/>
          <w:b/>
          <w:color w:val="3465B0"/>
          <w:sz w:val="24"/>
        </w:rPr>
        <w:t>Second Quarter and Full-Year 2026 Guidance</w:t>
      </w:r>
      <w:r>
        <w:rPr>
          <w:rFonts w:ascii="Calibri" w:hAnsi="Calibri"/>
          <w:color w:val="3465B0"/>
          <w:sz w:val="24"/>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table below provides CarGurus’ guidance, which is based on recent market trends, industry conditions, and management’s expectations and assumptions as of today.</w:t>
      </w:r>
    </w:p>
    <w:p>
      <w:pPr>
        <w:pStyle w:val="TextBody"/>
        <w:bidi w:val="0"/>
        <w:jc w:val="both"/>
        <w:rPr/>
      </w:pPr>
      <w:r>
        <w:rPr/>
        <w:t> </w:t>
      </w:r>
    </w:p>
    <w:tbl>
      <w:tblPr>
        <w:tblW w:w="8972" w:type="dxa"/>
        <w:jc w:val="left"/>
        <w:tblInd w:w="0" w:type="dxa"/>
        <w:tblLayout w:type="fixed"/>
        <w:tblCellMar>
          <w:top w:w="28" w:type="dxa"/>
          <w:left w:w="28" w:type="dxa"/>
          <w:bottom w:w="28" w:type="dxa"/>
          <w:right w:w="28" w:type="dxa"/>
        </w:tblCellMar>
      </w:tblPr>
      <w:tblGrid>
        <w:gridCol w:w="5716"/>
        <w:gridCol w:w="3256"/>
      </w:tblGrid>
      <w:tr>
        <w:trPr/>
        <w:tc>
          <w:tcPr>
            <w:tcW w:w="571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Second Quarter 2026 Guidance Metrics</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Values</w:t>
            </w:r>
          </w:p>
        </w:tc>
      </w:tr>
      <w:tr>
        <w:trPr/>
        <w:tc>
          <w:tcPr>
            <w:tcW w:w="57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revenue</w:t>
            </w:r>
          </w:p>
        </w:tc>
        <w:tc>
          <w:tcPr>
            <w:tcW w:w="3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$247.0 million to $252.0 million</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$77.5 million to $85.5 million</w:t>
            </w:r>
          </w:p>
        </w:tc>
      </w:tr>
      <w:tr>
        <w:trPr/>
        <w:tc>
          <w:tcPr>
            <w:tcW w:w="57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Earnings per Share from continuing operations</w:t>
            </w:r>
          </w:p>
        </w:tc>
        <w:tc>
          <w:tcPr>
            <w:tcW w:w="3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$0.57 to $0.64</w:t>
            </w:r>
          </w:p>
        </w:tc>
      </w:tr>
    </w:tbl>
    <w:p>
      <w:pPr>
        <w:pStyle w:val="TextBody"/>
        <w:bidi w:val="0"/>
        <w:jc w:val="both"/>
        <w:rPr/>
      </w:pPr>
      <w:r>
        <w:rPr/>
        <w:t> </w:t>
      </w:r>
    </w:p>
    <w:tbl>
      <w:tblPr>
        <w:tblW w:w="9182" w:type="dxa"/>
        <w:jc w:val="left"/>
        <w:tblInd w:w="0" w:type="dxa"/>
        <w:tblLayout w:type="fixed"/>
        <w:tblCellMar>
          <w:top w:w="28" w:type="dxa"/>
          <w:left w:w="28" w:type="dxa"/>
          <w:bottom w:w="28" w:type="dxa"/>
          <w:right w:w="28" w:type="dxa"/>
        </w:tblCellMar>
      </w:tblPr>
      <w:tblGrid>
        <w:gridCol w:w="7456"/>
        <w:gridCol w:w="1726"/>
      </w:tblGrid>
      <w:tr>
        <w:trPr/>
        <w:tc>
          <w:tcPr>
            <w:tcW w:w="74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7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Full-Year 2026 Guidance Metrics</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Values</w:t>
            </w:r>
          </w:p>
        </w:tc>
      </w:tr>
      <w:tr>
        <w:trPr/>
        <w:tc>
          <w:tcPr>
            <w:tcW w:w="74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 change YoY</w:t>
            </w:r>
          </w:p>
        </w:tc>
        <w:tc>
          <w:tcPr>
            <w:tcW w:w="1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 to 13%</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 margin change YoY</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(1.5)% to (2.5)%</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second quarter 2026 non-GAAP earnings per share from continuing operations calculations assumes 91.0 million diluted weighted-average common shares outstanding.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assumptions that are built into guidance for the second quarter and full-year 2026 regarding our pace of paid dealer acquisition, churn, and expansion activity for the relevant period are based on recent market trends and industry conditions. Guidance for the second quarter and full-year 2026 excludes macro-level industry issues that result in dealers and consumers materially changing their recent market trends or that cause us to enact measures to assist dealers. Guidance also excludes any potential impact of future foreign currency exchange gains or losses. CarGurus may incur charges, realize gains or losses, or experience other events or circumstances in 2026 that could cause any of these assumptions to change and/or actual results to vary from this guidance.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has not reconciled its guidance of non-GAAP Adjusted EBITDA from continuing operations to GAAP net income from continuing operations or non-GAAP earnings per share from continuing operations to GAAP earnings per share from continuing operations because we are unable to accurately predict without unreasonable effort the exact amount or timing of certain reconciling items between such GAAP and non-GAAP financial measures, including, as applicable, depreciation expenses, amortization of intangible assets, non-intangible amortization, stock-based compensation, impairments, and income tax effects. The variability of these reconciling items could have a significant impact on our future GAAP reported results.</w:t>
      </w:r>
    </w:p>
    <w:p>
      <w:pPr>
        <w:pStyle w:val="TextBody"/>
        <w:bidi w:val="0"/>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Conference Call and Webcast Information</w:t>
      </w:r>
    </w:p>
    <w:p>
      <w:pPr>
        <w:pStyle w:val="TextBody"/>
        <w:bidi w:val="0"/>
        <w:spacing w:before="240" w:after="283"/>
        <w:jc w:val="both"/>
        <w:rPr>
          <w:rFonts w:ascii="Calibri" w:hAnsi="Calibri"/>
          <w:sz w:val="20"/>
        </w:rPr>
      </w:pPr>
      <w:r>
        <w:rPr>
          <w:rFonts w:ascii="Outfit;sans-serif" w:hAnsi="Outfit;sans-serif"/>
          <w:color w:val="00002D"/>
          <w:sz w:val="20"/>
        </w:rPr>
        <w:t xml:space="preserve">CarGurus will host a conference call and live webcast to discuss its first quarter 2026 financial results and business outlook at 5:00 p.m. Eastern Time today, May 7, 2026. To access the conference call, dial (877) 451-6152 for callers in the U.S. or Canada, or (201) 389-0879 for international callers. The webcast will be available live on the Investors section of CarGurus’ website at </w:t>
      </w:r>
      <w:r>
        <w:rPr>
          <w:rFonts w:ascii="Outfit;sans-serif" w:hAnsi="Outfit;sans-serif"/>
          <w:sz w:val="20"/>
        </w:rPr>
        <w:t>investors.cargurus.com</w:t>
      </w:r>
      <w:r>
        <w:rPr>
          <w:rFonts w:ascii="Outfit;sans-serif" w:hAnsi="Outfit;sans-serif"/>
          <w:color w:val="00002D"/>
          <w:sz w:val="20"/>
        </w:rPr>
        <w:t>.</w:t>
      </w:r>
    </w:p>
    <w:p>
      <w:pPr>
        <w:pStyle w:val="TextBody"/>
        <w:bidi w:val="0"/>
        <w:spacing w:before="240" w:after="283"/>
        <w:jc w:val="both"/>
        <w:rPr>
          <w:rFonts w:ascii="Calibri" w:hAnsi="Calibri"/>
          <w:sz w:val="20"/>
        </w:rPr>
      </w:pPr>
      <w:r>
        <w:rPr>
          <w:rFonts w:ascii="Outfit;sans-serif" w:hAnsi="Outfit;sans-serif"/>
          <w:color w:val="00002D"/>
          <w:sz w:val="20"/>
        </w:rPr>
        <w:t xml:space="preserve">An audio replay of the call will also be available to investors beginning at approximately 8:00 p.m. Eastern Time today, May 7, 2026, until 11:59 p.m. Eastern Time on May 21, 2026, by dialing (844) 512-2921 for callers in the U.S. or Canada, or (412) 317-6671 for international callers, and entering passcode 13759185. In addition, an archived webcast will be available on the Investors section of CarGurus’ website at </w:t>
      </w:r>
      <w:r>
        <w:rPr>
          <w:rFonts w:ascii="Outfit;sans-serif" w:hAnsi="Outfit;sans-serif"/>
          <w:sz w:val="20"/>
        </w:rPr>
        <w:t>investors.cargurus.com</w:t>
      </w:r>
      <w:r>
        <w:rPr>
          <w:rFonts w:ascii="Outfit;sans-serif" w:hAnsi="Outfit;sans-serif"/>
          <w:color w:val="00002D"/>
          <w:sz w:val="20"/>
        </w:rPr>
        <w:t>.</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About CarGurus</w:t>
      </w:r>
    </w:p>
    <w:p>
      <w:pPr>
        <w:pStyle w:val="TextBody"/>
        <w:bidi w:val="0"/>
        <w:spacing w:before="240" w:after="283"/>
        <w:jc w:val="both"/>
        <w:rPr>
          <w:rFonts w:ascii="Calibri" w:hAnsi="Calibri"/>
          <w:sz w:val="20"/>
        </w:rPr>
      </w:pPr>
      <w:r>
        <w:rPr>
          <w:rFonts w:ascii="Outfit;sans-serif" w:hAnsi="Outfit;sans-serif"/>
          <w:color w:val="00002D"/>
          <w:sz w:val="20"/>
        </w:rPr>
        <w:t>CarGurus (Nasdaq: CARG) is the leading multinational automotive platform helping consumers and dealers confidently buy and sell vehicles. Founded in 2006 with a mission to bring more trust and transparency to car shopping, CarGurus is the No. 1 visited automotive shopping site in the U.S.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with the largest selection of inventory and network of dealers.</w:t>
      </w:r>
      <w:r>
        <w:rPr>
          <w:rFonts w:ascii="Outfit;sans-serif" w:hAnsi="Outfit;sans-serif"/>
          <w:color w:val="00002D"/>
          <w:sz w:val="13"/>
        </w:rPr>
        <w:t>2</w:t>
      </w:r>
      <w:r>
        <w:rPr>
          <w:rFonts w:ascii="Calibri" w:hAnsi="Calibri"/>
          <w:color w:val="00002D"/>
          <w:sz w:val="20"/>
        </w:rPr>
        <w:t xml:space="preserve"> </w:t>
      </w:r>
      <w:r>
        <w:rPr>
          <w:rFonts w:ascii="Outfit;sans-serif" w:hAnsi="Outfit;sans-serif"/>
          <w:color w:val="00002D"/>
          <w:sz w:val="20"/>
        </w:rPr>
        <w:t>CarGurus’ unmatched selection, trusted automotive insights, and data-driven products and solutions support each shopper’s journey — from online research and shopping to in-dealership decisions — to empower them at every step. And, by translating data from billions of monthly site interactions,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Calibri" w:hAnsi="Calibri"/>
          <w:sz w:val="20"/>
        </w:rPr>
      </w:pPr>
      <w:r>
        <w:rPr>
          <w:rFonts w:ascii="Outfit;sans-serif" w:hAnsi="Outfit;sans-serif"/>
          <w:color w:val="00002D"/>
          <w:sz w:val="20"/>
        </w:rPr>
        <w:t>CarGurus operates online marketplaces in the U.S., U.K., and Canada. The company’s network of brands includes PistonHeads, the largest online motoring community in the U.K.</w:t>
      </w:r>
      <w:r>
        <w:rPr>
          <w:rFonts w:ascii="Outfit;sans-serif" w:hAnsi="Outfit;sans-serif"/>
          <w:color w:val="00002D"/>
          <w:sz w:val="13"/>
        </w:rPr>
        <w:t>3</w:t>
      </w:r>
      <w:r>
        <w:rPr>
          <w:rFonts w:ascii="Outfit;sans-serif" w:hAnsi="Outfit;sans-serif"/>
          <w:color w:val="00002D"/>
          <w:sz w:val="20"/>
        </w:rPr>
        <w:t>, and Autolist, a U.S.- based online marketplace.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learn more about CarGurus, visit www.cargurus.com.</w:t>
      </w:r>
    </w:p>
    <w:p>
      <w:pPr>
        <w:pStyle w:val="TextBody"/>
        <w:bidi w:val="0"/>
        <w:spacing w:before="240" w:after="283"/>
        <w:jc w:val="right"/>
        <w:rPr>
          <w:rFonts w:ascii="Calibri" w:hAnsi="Calibri"/>
          <w:sz w:val="20"/>
        </w:rPr>
      </w:pPr>
      <w:r>
        <w:rPr>
          <w:rFonts w:ascii="Outfit;sans-serif" w:hAnsi="Outfit;sans-serif"/>
          <w:color w:val="000000"/>
          <w:sz w:val="13"/>
        </w:rPr>
        <w:t xml:space="preserve">1 </w:t>
      </w:r>
      <w:r>
        <w:rPr>
          <w:rFonts w:ascii="Outfit;sans-serif" w:hAnsi="Outfit;sans-serif"/>
          <w:color w:val="000000"/>
          <w:sz w:val="18"/>
        </w:rPr>
        <w:t xml:space="preserve">Similarweb: Traffic and Engagement Report (Cars.com, Autotrader.com, TrueCar.com, CARFAX.com Listings </w:t>
        <w:br/>
        <w:t>(defined as CARFAX.com Total Visits minus Vehicle History Reports)), Q1 2026, U.S.</w:t>
      </w:r>
    </w:p>
    <w:p>
      <w:pPr>
        <w:pStyle w:val="TextBody"/>
        <w:bidi w:val="0"/>
        <w:jc w:val="right"/>
        <w:rPr>
          <w:rFonts w:ascii="Calibri" w:hAnsi="Calibri"/>
          <w:sz w:val="20"/>
        </w:rPr>
      </w:pPr>
      <w:r>
        <w:rPr>
          <w:rFonts w:ascii="Outfit;sans-serif" w:hAnsi="Outfit;sans-serif"/>
          <w:color w:val="000000"/>
          <w:sz w:val="13"/>
        </w:rPr>
        <w:t>2</w:t>
      </w:r>
      <w:r>
        <w:rPr>
          <w:rFonts w:ascii="Outfit;sans-serif" w:hAnsi="Outfit;sans-serif"/>
          <w:color w:val="000000"/>
          <w:sz w:val="18"/>
        </w:rPr>
        <w:t>Compared to Autotrader.com, Cars.com, TrueCar.com, and CARFAX (Joreca as of March 31, 2026)</w:t>
      </w:r>
    </w:p>
    <w:p>
      <w:pPr>
        <w:pStyle w:val="TextBody"/>
        <w:bidi w:val="0"/>
        <w:jc w:val="right"/>
        <w:rPr>
          <w:rFonts w:ascii="Calibri" w:hAnsi="Calibri"/>
          <w:sz w:val="20"/>
        </w:rPr>
      </w:pPr>
      <w:r>
        <w:rPr>
          <w:rFonts w:ascii="Outfit;sans-serif" w:hAnsi="Outfit;sans-serif"/>
          <w:color w:val="000000"/>
          <w:sz w:val="13"/>
        </w:rPr>
        <w:t>3</w:t>
      </w:r>
      <w:r>
        <w:rPr>
          <w:rFonts w:ascii="Calibri" w:hAnsi="Calibri"/>
          <w:color w:val="000000"/>
          <w:sz w:val="20"/>
        </w:rPr>
        <w:t xml:space="preserve"> </w:t>
      </w:r>
      <w:r>
        <w:rPr>
          <w:rFonts w:ascii="Outfit;sans-serif" w:hAnsi="Outfit;sans-serif"/>
          <w:color w:val="000000"/>
          <w:sz w:val="18"/>
        </w:rPr>
        <w:t>Similarweb: Traffic Insights, Q1 2026, U.K.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and PistonHeads® is a registered trademark of CarGurus Ireland Limited in the U.K. and the European Union. All other product names, trademarks, and registered trademarks are property of their respective owners.</w:t>
      </w:r>
    </w:p>
    <w:p>
      <w:pPr>
        <w:pStyle w:val="TextBody"/>
        <w:bidi w:val="0"/>
        <w:spacing w:before="240" w:after="283"/>
        <w:jc w:val="both"/>
        <w:rPr>
          <w:rFonts w:ascii="Calibri" w:hAnsi="Calibri"/>
          <w:sz w:val="20"/>
        </w:rPr>
      </w:pPr>
      <w:r>
        <w:rPr>
          <w:rFonts w:ascii="Outfit;sans-serif" w:hAnsi="Outfit;sans-serif"/>
          <w:color w:val="00002D"/>
          <w:sz w:val="20"/>
        </w:rPr>
        <w:t>©</w:t>
      </w:r>
      <w:r>
        <w:rPr>
          <w:rFonts w:ascii="Calibri" w:hAnsi="Calibri"/>
          <w:color w:val="00002D"/>
          <w:sz w:val="20"/>
        </w:rPr>
        <w:t xml:space="preserve"> </w:t>
      </w:r>
      <w:r>
        <w:rPr>
          <w:rFonts w:ascii="Outfit;sans-serif" w:hAnsi="Outfit;sans-serif"/>
          <w:color w:val="00002D"/>
          <w:sz w:val="20"/>
        </w:rPr>
        <w:t>2026 CarGurus, Inc., All Rights Reserved.</w:t>
      </w:r>
    </w:p>
    <w:p>
      <w:pPr>
        <w:pStyle w:val="TextBody"/>
        <w:bidi w:val="0"/>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Cautionary Language Concerning Forward-Looking Statements</w:t>
      </w:r>
    </w:p>
    <w:p>
      <w:pPr>
        <w:pStyle w:val="TextBody"/>
        <w:bidi w:val="0"/>
        <w:spacing w:before="240" w:after="283"/>
        <w:jc w:val="both"/>
        <w:rPr>
          <w:rFonts w:ascii="Calibri" w:hAnsi="Calibri"/>
          <w:sz w:val="20"/>
        </w:rPr>
      </w:pPr>
      <w:r>
        <w:rPr>
          <w:rFonts w:ascii="Outfit;sans-serif" w:hAnsi="Outfit;sans-serif"/>
          <w:color w:val="00002D"/>
          <w:sz w:val="20"/>
        </w:rPr>
        <w:t>This press release includes forward-looking statements. Other than statements of historical facts, all statements contained in this press release, including statements regarding our future financial and operating results; our second quarter and full-year 2026 financial and business performance, including guidance; our plans to focus on technology and analytics that will enable smarter sourcing and pricing decisions; our business and growth strategy and our plans to execute on our growth strategy; our ability to grow our business profitably and efficiently; our capital allocation and investment strategy; our plans relating to share repurchases; the attractiveness and value proposition of our current offerings and other product opportunities; the potential of, and expectations for, our current offerings and other product opportunities; our ability to maintain existing and acquire new customers; addressable opportunities; our expectation that we will continue to invest in growth initiatives; our ability to quickly make transformations necessary for our business to achieve long-term goals; and 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 are forward-looking statements. The words “aim,” “anticipate,” “believe,” “could,” “estimate,” “expect,” “goal,” “guide,” “guidance,” “intend,” “may,” “might,” “plan,” “potential,” “predicts,” “projects,” “seeks,” “should,” “target,” “will,” “would,” and similar expressions and their negatives are intended to identify forward-looking statements. We have based these forward-looking statements on our current expectations and projections about future events and financial trends that we reasonably believe may affect our business, financial condition, results of operations, business strategy, short-term and long-term business operations and objectives, financial needs, and growth prospects. You should not rely upon forward-looking statements as predictions of future events.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These forward-looking statements are subject to a number of risks and uncertainties that could cause actual results to differ materially from those reflected in such statements, including risks related to our growth and our ability to grow our revenue; our relationships with dealers; competition in the markets in which we operate; market growth; our ability to innovate; increased inflation and interest rates, global supply chain challenges, changes in international trade policies, including tariffs, volatile economic conditions, and other macroeconomic issues; the impact of changes in tax law and related guidance and regulations that may be implemented, including on tax rates, our business, and our financial results; changes in our key personnel; natural disasters, epidemics, or pandemics; and our ability to operate in compliance with applicable laws as well as other risks and uncertainties as may be detailed from time to time in our Annual Reports on Form 10-K and Quarterly Reports on Form 10-Q and other reports we file with the U.S. Securities and Exchange Commission. We operate in a very competitive and rapidly changing environments. New risks and uncertainties emerge from time to time. It is not possible for us to predict all risks and uncertainties that could have an impact on any forward-looking statements we may make. We are under no duty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b/>
          <w:color w:val="3465B0"/>
          <w:sz w:val="20"/>
        </w:rPr>
        <w:t>Investor Contact:</w:t>
      </w:r>
      <w:r>
        <w:rPr>
          <w:rFonts w:ascii="Calibri" w:hAnsi="Calibri"/>
          <w:color w:val="3465B0"/>
          <w:sz w:val="20"/>
        </w:rPr>
        <w:t xml:space="preserve"> </w:t>
      </w:r>
    </w:p>
    <w:p>
      <w:pPr>
        <w:pStyle w:val="TextBody"/>
        <w:bidi w:val="0"/>
        <w:jc w:val="both"/>
        <w:rPr>
          <w:rFonts w:ascii="Outfit;sans-serif" w:hAnsi="Outfit;sans-serif"/>
          <w:color w:val="00002D"/>
          <w:sz w:val="20"/>
        </w:rPr>
      </w:pPr>
      <w:r>
        <w:rPr>
          <w:rFonts w:ascii="Outfit;sans-serif" w:hAnsi="Outfit;sans-serif"/>
          <w:color w:val="00002D"/>
          <w:sz w:val="20"/>
        </w:rPr>
        <w:t>Kirndeep Singh</w:t>
      </w:r>
    </w:p>
    <w:p>
      <w:pPr>
        <w:pStyle w:val="TextBody"/>
        <w:bidi w:val="0"/>
        <w:jc w:val="both"/>
        <w:rPr>
          <w:rFonts w:ascii="Outfit;sans-serif" w:hAnsi="Outfit;sans-serif"/>
          <w:color w:val="00002D"/>
          <w:sz w:val="20"/>
        </w:rPr>
      </w:pPr>
      <w:r>
        <w:rPr>
          <w:rFonts w:ascii="Outfit;sans-serif" w:hAnsi="Outfit;sans-serif"/>
          <w:color w:val="00002D"/>
          <w:sz w:val="20"/>
        </w:rPr>
        <w:t>Vice President, Head of Investor Relations</w:t>
      </w:r>
    </w:p>
    <w:p>
      <w:pPr>
        <w:pStyle w:val="TextBody"/>
        <w:bidi w:val="0"/>
        <w:jc w:val="both"/>
        <w:rPr>
          <w:rFonts w:ascii="Outfit;sans-serif" w:hAnsi="Outfit;sans-serif"/>
          <w:color w:val="00002D"/>
          <w:sz w:val="20"/>
        </w:rPr>
      </w:pPr>
      <w:r>
        <w:rPr>
          <w:rFonts w:ascii="Outfit;sans-serif" w:hAnsi="Outfit;sans-serif"/>
          <w:color w:val="00002D"/>
          <w:sz w:val="20"/>
        </w:rPr>
        <w:t>investors@cargurus.com</w:t>
      </w:r>
    </w:p>
    <w:p>
      <w:pPr>
        <w:pStyle w:val="TextBody"/>
        <w:bidi w:val="0"/>
        <w:spacing w:before="240" w:after="283"/>
        <w:jc w:val="both"/>
        <w:rPr>
          <w:rFonts w:ascii="Calibri" w:hAnsi="Calibri"/>
          <w:sz w:val="20"/>
        </w:rPr>
      </w:pPr>
      <w:r>
        <w:rPr>
          <w:rFonts w:ascii="Outfit;sans-serif" w:hAnsi="Outfit;sans-serif"/>
          <w:b/>
          <w:color w:val="3465B0"/>
          <w:sz w:val="20"/>
        </w:rPr>
        <w:t>Media Contact:</w:t>
      </w:r>
      <w:r>
        <w:rPr>
          <w:rFonts w:ascii="Calibri" w:hAnsi="Calibri"/>
          <w:color w:val="3465B0"/>
          <w:sz w:val="20"/>
        </w:rPr>
        <w:t xml:space="preserve"> </w:t>
      </w:r>
    </w:p>
    <w:p>
      <w:pPr>
        <w:pStyle w:val="TextBody"/>
        <w:bidi w:val="0"/>
        <w:jc w:val="both"/>
        <w:rPr>
          <w:rFonts w:ascii="Outfit;sans-serif" w:hAnsi="Outfit;sans-serif"/>
          <w:color w:val="00002D"/>
          <w:sz w:val="20"/>
        </w:rPr>
      </w:pPr>
      <w:r>
        <w:rPr>
          <w:rFonts w:ascii="Outfit;sans-serif" w:hAnsi="Outfit;sans-serif"/>
          <w:color w:val="00002D"/>
          <w:sz w:val="20"/>
        </w:rPr>
        <w:t>Maggie Meluzio</w:t>
      </w:r>
    </w:p>
    <w:p>
      <w:pPr>
        <w:pStyle w:val="TextBody"/>
        <w:bidi w:val="0"/>
        <w:jc w:val="both"/>
        <w:rPr>
          <w:rFonts w:ascii="Outfit;sans-serif" w:hAnsi="Outfit;sans-serif"/>
          <w:color w:val="00002D"/>
          <w:sz w:val="20"/>
        </w:rPr>
      </w:pPr>
      <w:r>
        <w:rPr>
          <w:rFonts w:ascii="Outfit;sans-serif" w:hAnsi="Outfit;sans-serif"/>
          <w:color w:val="00002D"/>
          <w:sz w:val="20"/>
        </w:rPr>
        <w:t>Director, Public Relations and External Communications</w:t>
      </w:r>
    </w:p>
    <w:p>
      <w:pPr>
        <w:pStyle w:val="TextBody"/>
        <w:bidi w:val="0"/>
        <w:jc w:val="both"/>
        <w:rPr>
          <w:rFonts w:ascii="Outfit;sans-serif" w:hAnsi="Outfit;sans-serif"/>
          <w:color w:val="00002D"/>
          <w:sz w:val="20"/>
        </w:rPr>
      </w:pPr>
      <w:r>
        <w:rPr>
          <w:rFonts w:ascii="Outfit;sans-serif" w:hAnsi="Outfit;sans-serif"/>
          <w:color w:val="00002D"/>
          <w:sz w:val="20"/>
        </w:rPr>
        <w:t>pr@cargurus.com</w:t>
      </w:r>
    </w:p>
    <w:p>
      <w:pPr>
        <w:pStyle w:val="TextBody"/>
        <w:pBdr>
          <w:bottom w:val="single" w:sz="6" w:space="1" w:color="3465B0"/>
        </w:pBdr>
        <w:bidi w:val="0"/>
        <w:jc w:val="both"/>
        <w:rPr/>
      </w:pPr>
      <w:r>
        <w:rPr/>
        <w:t> </w:t>
      </w:r>
    </w:p>
    <w:p>
      <w:pPr>
        <w:pStyle w:val="TextBody"/>
        <w:bidi w:val="0"/>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Balance Sheets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226"/>
        <w:gridCol w:w="886"/>
        <w:gridCol w:w="146"/>
        <w:gridCol w:w="146"/>
        <w:gridCol w:w="273"/>
        <w:gridCol w:w="1074"/>
        <w:gridCol w:w="393"/>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72,049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190,518</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receivable, net of allowance for doubtful accounts of $800</w:t>
              <w:br/>
              <w:t>   and $600,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41,936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Prepaid expenses, prepaid income taxes, and other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30,142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35,259</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161,872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282,948</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132,952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2,985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3,253</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28,397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99,237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115,481</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81,201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13,563</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4,102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519,613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661,897</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32,984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38,393</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23,562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9,621</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100,539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178,374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181,364</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5,722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5,354</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287,699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Preferred stock, $0.001 par value per share; 10,000,000 shares authorized;</w:t>
              <w:br/>
              <w:t>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Class A common stock, $0.001 par value per share; 500,000,000 shares</w:t>
              <w:br/>
              <w:t>   authorized; 75,673,609 and 80,667,475 shares issued and outstanding</w:t>
              <w:br/>
              <w:t>   at March 31, 2026 and December 31, 2025,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Class B common stock, $0.001 par value per share; 100,000,000 shares</w:t>
              <w:br/>
              <w:t>   authorized; 14,216,250 and 14,216,250 shares issued and outstanding</w:t>
              <w:br/>
              <w:t>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Additional paid-in capital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10,297</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229,815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362,380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Accumulated other comprehensive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1,426</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237,128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374,198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liabilities and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519,613</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661,897</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Income Statements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262"/>
        <w:gridCol w:w="146"/>
        <w:gridCol w:w="226"/>
        <w:gridCol w:w="1186"/>
        <w:gridCol w:w="181"/>
        <w:gridCol w:w="146"/>
        <w:gridCol w:w="226"/>
        <w:gridCol w:w="1306"/>
        <w:gridCol w:w="526"/>
      </w:tblGrid>
      <w:tr>
        <w:trPr/>
        <w:tc>
          <w:tcPr>
            <w:tcW w:w="6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243,555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14,343</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224,621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197,892</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97,484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83,669</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37,671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35,028</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26,481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24,785</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19,201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3,705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3,756</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184,542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147,238</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40,079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50,654</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3,098</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41,144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53,450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8,916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11,376</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42,074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(3,029</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0.41</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0.40</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0.37</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94,055,057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103,094,690</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95,096,141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105,068,046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 w:after="283"/>
        <w:jc w:val="both"/>
        <w:rPr>
          <w:rFonts w:ascii="Outfit" w:hAnsi="Outfit"/>
          <w:color w:val="000000"/>
          <w:sz w:val="16"/>
        </w:rPr>
      </w:pPr>
      <w:r>
        <w:rPr>
          <w:rFonts w:ascii="Outfit" w:hAnsi="Outfit"/>
          <w:color w:val="000000"/>
          <w:sz w:val="16"/>
        </w:rPr>
        <w:t>(1)</w:t>
      </w:r>
    </w:p>
    <w:p>
      <w:pPr>
        <w:pStyle w:val="TextBody"/>
        <w:bidi w:val="0"/>
        <w:spacing w:before="2" w:after="283"/>
        <w:jc w:val="both"/>
        <w:rPr/>
      </w:pPr>
      <w:r>
        <w:rPr>
          <w:rFonts w:ascii="Outfit;sans-serif" w:hAnsi="Outfit;sans-serif"/>
          <w:color w:val="000000"/>
          <w:sz w:val="16"/>
        </w:rPr>
        <w:t xml:space="preserve">For the </w:t>
      </w:r>
      <w:r>
        <w:rPr>
          <w:rFonts w:ascii="Outfit;sans-serif" w:hAnsi="Outfit;sans-serif"/>
          <w:color w:val="00002D"/>
          <w:sz w:val="16"/>
        </w:rPr>
        <w:t>three months ended March 31, 2026</w:t>
      </w:r>
      <w:r>
        <w:rPr>
          <w:color w:val="000000"/>
        </w:rPr>
        <w:t xml:space="preserve"> </w:t>
      </w:r>
      <w:r>
        <w:rPr>
          <w:rFonts w:ascii="Outfit;sans-serif" w:hAnsi="Outfit;sans-serif"/>
          <w:color w:val="000000"/>
          <w:sz w:val="16"/>
        </w:rPr>
        <w:t>and 2025, cost of revenue includes $3.5 million and $1.9 million, respectively, of depreciation and amortization expense.</w:t>
      </w:r>
    </w:p>
    <w:p>
      <w:pPr>
        <w:pStyle w:val="TextBody"/>
        <w:bidi w:val="0"/>
        <w:spacing w:before="2" w:after="283"/>
        <w:jc w:val="both"/>
        <w:rPr>
          <w:rFonts w:ascii="Outfit" w:hAnsi="Outfit"/>
          <w:color w:val="000000"/>
          <w:sz w:val="16"/>
        </w:rPr>
      </w:pPr>
      <w:r>
        <w:rPr>
          <w:rFonts w:ascii="Outfit" w:hAnsi="Outfit"/>
          <w:color w:val="000000"/>
          <w:sz w:val="16"/>
        </w:rPr>
        <w:t>(2)</w:t>
      </w:r>
    </w:p>
    <w:p>
      <w:pPr>
        <w:pStyle w:val="TextBody"/>
        <w:bidi w:val="0"/>
        <w:spacing w:before="2" w:after="283"/>
        <w:jc w:val="both"/>
        <w:rPr>
          <w:rFonts w:ascii="Outfit;sans-serif" w:hAnsi="Outfit;sans-serif"/>
          <w:color w:val="000000"/>
          <w:sz w:val="16"/>
        </w:rPr>
      </w:pPr>
      <w:r>
        <w:rPr>
          <w:rFonts w:ascii="Outfit;sans-serif" w:hAnsi="Outfit;sans-serif"/>
          <w:color w:val="000000"/>
          <w:sz w:val="16"/>
        </w:rPr>
        <w:t>For the three months ended March 31, 2026, cost of revenue includes impairment of $0.5 million. For the three months ended March 31, 2025, there was no impairment recorded in cost of revenue.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Outfit;sans-serif" w:hAnsi="Outfit;sans-serif"/>
          <w:color w:val="000000"/>
          <w:sz w:val="20"/>
        </w:rPr>
      </w:pPr>
      <w:r>
        <w:rPr>
          <w:rFonts w:ascii="Outfit;sans-serif" w:hAnsi="Outfit;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Geographical Revenue</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left"/>
        <w:rPr/>
      </w:pPr>
      <w:r>
        <w:rPr/>
        <w:t> </w:t>
      </w:r>
    </w:p>
    <w:tbl>
      <w:tblPr>
        <w:tblW w:w="6434" w:type="dxa"/>
        <w:jc w:val="left"/>
        <w:tblInd w:w="0" w:type="dxa"/>
        <w:tblLayout w:type="fixed"/>
        <w:tblCellMar>
          <w:top w:w="28" w:type="dxa"/>
          <w:left w:w="28" w:type="dxa"/>
          <w:bottom w:w="28" w:type="dxa"/>
          <w:right w:w="28" w:type="dxa"/>
        </w:tblCellMar>
      </w:tblPr>
      <w:tblGrid>
        <w:gridCol w:w="3181"/>
        <w:gridCol w:w="146"/>
        <w:gridCol w:w="226"/>
        <w:gridCol w:w="886"/>
        <w:gridCol w:w="146"/>
        <w:gridCol w:w="146"/>
        <w:gridCol w:w="226"/>
        <w:gridCol w:w="88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219,989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195,228</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243,555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Statements of Cash Flows</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26"/>
        <w:gridCol w:w="961"/>
        <w:gridCol w:w="181"/>
        <w:gridCol w:w="146"/>
        <w:gridCol w:w="226"/>
        <w:gridCol w:w="961"/>
        <w:gridCol w:w="426"/>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March 31,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32,228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39,045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Adjustments to reconcile consolidated net income to 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6,554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Currency loss (gain) on foreign denominated 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(165</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(3,389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Provision for doubtful accounts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424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12,900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Amortization of deferred financing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Amortization of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4,702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3,810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19,711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(3,659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3,070</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4,666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6,801</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(4,744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4,075</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(7,082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(5,592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1,104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731</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4,583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69,849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67,879</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Purchases of property and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(2,240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Capitalization of website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(6,301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(5,391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(6,692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(7,631</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(8,985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(174,439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(182,828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Payment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Change in gross advance payments received from third-party transaction processor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(38</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(181,013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(191,477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Impact of foreign currency on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(613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710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(118,469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(130,519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93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Cash, cash equivalents, and restricted cash at beginning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190,518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306,229</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175,710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Gross Profit from Continuing Operations to Non-GAAP Gross Profit from Continuing Operations and GAAP Gross Profit from Continuing Operations Margin to Non-GAAP Gross Profit from Continuing Operations Margin</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percentages)</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6346"/>
        <w:gridCol w:w="146"/>
        <w:gridCol w:w="226"/>
        <w:gridCol w:w="886"/>
        <w:gridCol w:w="286"/>
        <w:gridCol w:w="146"/>
        <w:gridCol w:w="226"/>
        <w:gridCol w:w="886"/>
        <w:gridCol w:w="33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243,555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18,934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14,343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gross profit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224,621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197,892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 included in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 included in 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gross profit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225,190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197,959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gross profit margin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6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gross profit margin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Income from Continuing Operations to Non-GAAP Net Income from Continuing Operations and GAAP Net Income from Continuing Operations Per Share Attributable to Common Stockholders to Non-GAAP Net Income from Continuing Operations Per Share Attributable to Common Stockholders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37"/>
        <w:gridCol w:w="146"/>
        <w:gridCol w:w="226"/>
        <w:gridCol w:w="766"/>
        <w:gridCol w:w="181"/>
        <w:gridCol w:w="146"/>
        <w:gridCol w:w="226"/>
        <w:gridCol w:w="886"/>
        <w:gridCol w:w="391"/>
      </w:tblGrid>
      <w:tr>
        <w:trPr/>
        <w:tc>
          <w:tcPr>
            <w:tcW w:w="7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32,228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42,074</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13,272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12,383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tax effects and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55,572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50,302</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0.41</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net income from continuing operations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0.48</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Shares used in GAAP and Non-GAAP per share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94,055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103,095</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Income from Continuing Operations to Non-GAAP Adjusted EBITDA from Continuing Operations and GAAP Net Income from Continuing Operations Margin to Non-GAAP Adjusted EBITDA from Continuing Operations Margin</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left"/>
        <w:rPr/>
      </w:pPr>
      <w:r>
        <w:rPr/>
        <w:t> </w:t>
      </w:r>
    </w:p>
    <w:tbl>
      <w:tblPr>
        <w:tblW w:w="9149" w:type="dxa"/>
        <w:jc w:val="left"/>
        <w:tblInd w:w="0" w:type="dxa"/>
        <w:tblLayout w:type="fixed"/>
        <w:tblCellMar>
          <w:top w:w="28" w:type="dxa"/>
          <w:left w:w="28" w:type="dxa"/>
          <w:bottom w:w="28" w:type="dxa"/>
          <w:right w:w="28" w:type="dxa"/>
        </w:tblCellMar>
      </w:tblPr>
      <w:tblGrid>
        <w:gridCol w:w="6256"/>
        <w:gridCol w:w="146"/>
        <w:gridCol w:w="226"/>
        <w:gridCol w:w="766"/>
        <w:gridCol w:w="286"/>
        <w:gridCol w:w="146"/>
        <w:gridCol w:w="226"/>
        <w:gridCol w:w="766"/>
        <w:gridCol w:w="33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32,228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42,074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13,272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12,383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19,711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8,916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11,376</w:t>
            </w:r>
          </w:p>
        </w:tc>
        <w:tc>
          <w:tcPr>
            <w:tcW w:w="3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80,232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6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 margin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left"/>
        <w:rPr>
          <w:rFonts w:ascii="Calibri" w:hAnsi="Calibri"/>
          <w:sz w:val="24"/>
        </w:rPr>
      </w:pPr>
      <w:r>
        <w:rPr>
          <w:rFonts w:ascii="Outfit;sans-serif" w:hAnsi="Outfit;sans-serif"/>
          <w:b/>
          <w:color w:val="3465B0"/>
          <w:sz w:val="24"/>
        </w:rPr>
        <w:t>Unaudited Reconciliation of GAAP Expense from Continuing Operations to Non-GAAP Expense from Continuing Operations</w:t>
      </w:r>
      <w:r>
        <w:rPr>
          <w:rFonts w:ascii="Calibri" w:hAnsi="Calibri"/>
          <w:color w:val="3465B0"/>
          <w:sz w:val="24"/>
        </w:rPr>
        <w:t xml:space="preserve"> </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4"/>
        <w:gridCol w:w="146"/>
        <w:gridCol w:w="203"/>
        <w:gridCol w:w="716"/>
        <w:gridCol w:w="146"/>
        <w:gridCol w:w="146"/>
        <w:gridCol w:w="335"/>
        <w:gridCol w:w="748"/>
        <w:gridCol w:w="166"/>
        <w:gridCol w:w="146"/>
        <w:gridCol w:w="257"/>
        <w:gridCol w:w="869"/>
        <w:gridCol w:w="166"/>
        <w:gridCol w:w="146"/>
        <w:gridCol w:w="588"/>
        <w:gridCol w:w="1038"/>
        <w:gridCol w:w="166"/>
        <w:gridCol w:w="146"/>
        <w:gridCol w:w="233"/>
        <w:gridCol w:w="788"/>
        <w:gridCol w:w="166"/>
        <w:gridCol w:w="146"/>
        <w:gridCol w:w="196"/>
        <w:gridCol w:w="691"/>
        <w:gridCol w:w="193"/>
      </w:tblGrid>
      <w:tr>
        <w:trPr/>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 March 31,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18,934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18,365</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97,484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94,553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37,671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32,170</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21,700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19,201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(19,201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3,466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184,542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(13,213</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(19,201</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151,889</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203,476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170,254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 March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14,343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14,276</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83,669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80,944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35,028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(5,502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29,526</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20,694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147,238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(12,316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134,690</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161,581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148,966</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 w:after="283"/>
        <w:jc w:val="both"/>
        <w:rPr>
          <w:rFonts w:ascii="Outfit" w:hAnsi="Outfit"/>
          <w:color w:val="00002D"/>
          <w:sz w:val="16"/>
        </w:rPr>
      </w:pPr>
      <w:r>
        <w:rPr>
          <w:rFonts w:ascii="Outfit" w:hAnsi="Outfit"/>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Operating expenses include sales and marketing, product, technology, and development, general and administrative, impairments, and depreciation &amp; amortization.</w:t>
      </w:r>
    </w:p>
    <w:p>
      <w:pPr>
        <w:pStyle w:val="TextBody"/>
        <w:bidi w:val="0"/>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Cash, Cash Equivalents, and Restricted Cash Provided by Operating Activities to Non-GAAP Free Cash Flow</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22"/>
        <w:gridCol w:w="146"/>
        <w:gridCol w:w="226"/>
        <w:gridCol w:w="766"/>
        <w:gridCol w:w="181"/>
        <w:gridCol w:w="146"/>
        <w:gridCol w:w="226"/>
        <w:gridCol w:w="766"/>
        <w:gridCol w:w="226"/>
      </w:tblGrid>
      <w:tr>
        <w:trPr/>
        <w:tc>
          <w:tcPr>
            <w:tcW w:w="7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cash, cash equivalents, and restricted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69,849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67,879</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752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(6,301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(5,391</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752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63,157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60,248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Non-GAAP Financial Measures and Other Business Metrics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supplement our consolidated financial statements, which are prepared and presented in accordance with generally accepted accounting principles in the U.S.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above, and not to rely on any single financial measure to evaluate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While a reconciliation of non-GAAP guidance measures to corresponding GAAP measures is not available on a forward-looking basis because we are unable to accurately predict without unreasonable effort the exact amount or timing of certain reconciling items between such GAAP and non-GAAP financial measures, including, as applicable, depreciation expenses, amortization of intangible assets, non-intangible amortization, stock-based compensation, transaction-related expenses, impairments, and income tax effects, we have provided a reconciliation of non-GAAP financial measures and other business metrics to the nearest comparable GAAP measures in the accompanying financial statement tables included in this press release.</w:t>
      </w:r>
    </w:p>
    <w:p>
      <w:pPr>
        <w:pStyle w:val="TextBody"/>
        <w:bidi w:val="0"/>
        <w:spacing w:before="240" w:after="283"/>
        <w:jc w:val="both"/>
        <w:rPr>
          <w:rFonts w:ascii="Calibri" w:hAnsi="Calibri"/>
          <w:sz w:val="20"/>
        </w:rPr>
      </w:pPr>
      <w:r>
        <w:rPr>
          <w:rFonts w:ascii="Outfit;sans-serif" w:hAnsi="Outfit;sans-serif"/>
          <w:color w:val="00002D"/>
          <w:sz w:val="20"/>
        </w:rPr>
        <w:t>We monitor operating measures of</w:t>
      </w:r>
      <w:r>
        <w:rPr>
          <w:rFonts w:ascii="Calibri" w:hAnsi="Calibri"/>
          <w:color w:val="000000"/>
          <w:sz w:val="20"/>
        </w:rPr>
        <w:t xml:space="preserve"> </w:t>
      </w:r>
      <w:r>
        <w:rPr>
          <w:rFonts w:ascii="Outfit;sans-serif" w:hAnsi="Outfit;sans-serif"/>
          <w:color w:val="000000"/>
          <w:sz w:val="20"/>
        </w:rPr>
        <w:t xml:space="preserve">certain non-GAAP items including non-GAAP gross profit from continuing operations, non-GAAP gross margin from continuing operations, non-GAAP expense from continuing operations, non-GAAP net income from continuing operations, and non-GAAP net income from continuing operations per share attributable to common stockholders. These non-GAAP financial measures exclude the effect of amortization of intangible assets, stock-based compensation expense, transaction related-expenses, and impairments. Non-GAAP net income from continuing operations and non-GAAP net income from continuing operations per share attributable to common stockholders also exclude certain income tax effects and adjustments. Our calculations of non-GAAP net income from continuing operations per share attributable to common stockholders utilize applicable GAAP share counts as included in the accompanying financial statement tables included in this press release. In addition, we evaluate our non-GAAP gross profit from continuing operations in relation to our revenue. We refer to this as non-GAAP gross profit from continuing operations margin and define it as non-GAAP gross profit from continuing operations </w:t>
      </w:r>
      <w:r>
        <w:rPr>
          <w:rFonts w:ascii="Outfit;sans-serif" w:hAnsi="Outfit;sans-serif"/>
          <w:color w:val="00002D"/>
          <w:sz w:val="20"/>
        </w:rPr>
        <w:t>divided by total revenue.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We define non-GAAP Adjusted EBITDA from continuing operations as net income from continuing operations adjusted to exclude: depreciation and amortization, stock</w:t>
        <w:noBreakHyphen/>
        <w:t>based compensation expense, transaction-related expenses, impairments, other income, net, and provision for income taxes. In addition, we evaluate our non-GAAP Adjusted EBITDA from continuing operations in relation to our revenue. We refer to this as non-GAAP Adjusted EBITDA from continuing operations margin and define it as non-GAAP Adjusted EBITDA from continuing operations divided by total revenue.</w:t>
      </w:r>
      <w:r>
        <w:rPr>
          <w:rFonts w:ascii="Calibri" w:hAnsi="Calibri"/>
          <w:color w:val="00002D"/>
          <w:sz w:val="20"/>
        </w:rPr>
        <w:t xml:space="preserve"> </w:t>
      </w:r>
    </w:p>
    <w:p>
      <w:pPr>
        <w:pStyle w:val="TextBody"/>
        <w:bidi w:val="0"/>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presented non-GAAP Adjusted EBITDA from continuing operations and non-GAAP Adjusted EBITDA from continuing operations margin because they are key measures used by our management and Board of Directors to understand and evaluate our operating performance, generate future operating plans, and make strategic decisions regarding the allocation of capital. We believe non-GAAP Adjusted EBITDA from continuing operations helps identify underlying trends in our business that could otherwise be masked by the effect of the expenses that we exclude. Accordingly, we believe that non-GAAP Adjusted EBITDA from continuing operations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 making.</w:t>
      </w:r>
    </w:p>
    <w:p>
      <w:pPr>
        <w:pStyle w:val="TextBody"/>
        <w:bidi w:val="0"/>
        <w:spacing w:before="240" w:after="283"/>
        <w:jc w:val="both"/>
        <w:rPr>
          <w:rFonts w:ascii="Calibri" w:hAnsi="Calibri"/>
          <w:sz w:val="20"/>
        </w:rPr>
      </w:pPr>
      <w:r>
        <w:rPr>
          <w:rFonts w:ascii="Outfit;sans-serif" w:hAnsi="Outfit;sans-serif"/>
          <w:color w:val="00002D"/>
          <w:sz w:val="20"/>
        </w:rPr>
        <w:t>We define non-GAAP Free Cash Flow as cash flow from operations adjusted to include: purchases of property and equipment and capitalization of website development costs. We have presented non-GAAP Free Cash Flow because it is a measure of our financial performance that represents the cash that we are able to generate after expenditures required to maintain or expand our asset base.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subscription at the end of a defined period. 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Quarterly Average Revenue per Subscribing Dealer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utfit">
    <w:altName w:val="sans-serif"/>
    <w:charset w:val="01"/>
    <w:family w:val="auto"/>
    <w:pitch w:val="default"/>
  </w:font>
  <w:font w:name="Calibri">
    <w:charset w:val="01"/>
    <w:family w:val="auto"/>
    <w:pitch w:val="default"/>
  </w:font>
  <w:font w:name="sans-serif">
    <w:altName w:val="Arial"/>
    <w:charset w:val="01"/>
    <w:family w:val="auto"/>
    <w:pitch w:val="default"/>
  </w:font>
  <w:font w:name="Outfi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5081</Words>
  <Characters>29388</Characters>
  <CharactersWithSpaces>34945</CharactersWithSpaces>
  <Paragraphs>2282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