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172085</wp:posOffset>
            </wp:positionV>
            <wp:extent cx="116586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188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CarGurus,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8"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2580" w:type="dxa"/>
            <w:vAlign w:val="bottom"/>
          </w:tcPr>
          <w:p>
            <w:pPr>
              <w:jc w:val="center"/>
              <w:ind w:right="662"/>
              <w:spacing w:after="0"/>
              <w:rPr>
                <w:sz w:val="20"/>
                <w:szCs w:val="20"/>
                <w:color w:val="auto"/>
              </w:rPr>
            </w:pPr>
            <w:r>
              <w:rPr>
                <w:rFonts w:ascii="Arial" w:cs="Arial" w:eastAsia="Arial" w:hAnsi="Arial"/>
                <w:sz w:val="18"/>
                <w:szCs w:val="18"/>
                <w:b w:val="1"/>
                <w:bCs w:val="1"/>
                <w:color w:val="auto"/>
              </w:rPr>
              <w:t>Delaware</w:t>
            </w:r>
          </w:p>
        </w:tc>
        <w:tc>
          <w:tcPr>
            <w:tcW w:w="4340" w:type="dxa"/>
            <w:vAlign w:val="bottom"/>
          </w:tcPr>
          <w:p>
            <w:pPr>
              <w:jc w:val="center"/>
              <w:ind w:right="79"/>
              <w:spacing w:after="0"/>
              <w:rPr>
                <w:sz w:val="20"/>
                <w:szCs w:val="20"/>
                <w:color w:val="auto"/>
              </w:rPr>
            </w:pPr>
            <w:r>
              <w:rPr>
                <w:rFonts w:ascii="Arial" w:cs="Arial" w:eastAsia="Arial" w:hAnsi="Arial"/>
                <w:sz w:val="18"/>
                <w:szCs w:val="18"/>
                <w:b w:val="1"/>
                <w:bCs w:val="1"/>
                <w:color w:val="auto"/>
                <w:w w:val="99"/>
              </w:rPr>
              <w:t>001-38233</w:t>
            </w:r>
          </w:p>
        </w:tc>
        <w:tc>
          <w:tcPr>
            <w:tcW w:w="2100" w:type="dxa"/>
            <w:vAlign w:val="bottom"/>
          </w:tcPr>
          <w:p>
            <w:pPr>
              <w:jc w:val="center"/>
              <w:ind w:left="822"/>
              <w:spacing w:after="0"/>
              <w:rPr>
                <w:sz w:val="20"/>
                <w:szCs w:val="20"/>
                <w:color w:val="auto"/>
              </w:rPr>
            </w:pPr>
            <w:r>
              <w:rPr>
                <w:rFonts w:ascii="Arial" w:cs="Arial" w:eastAsia="Arial" w:hAnsi="Arial"/>
                <w:sz w:val="18"/>
                <w:szCs w:val="18"/>
                <w:b w:val="1"/>
                <w:bCs w:val="1"/>
                <w:color w:val="auto"/>
                <w:w w:val="99"/>
              </w:rPr>
              <w:t>04-3843478</w:t>
            </w:r>
          </w:p>
        </w:tc>
      </w:tr>
      <w:tr>
        <w:trPr>
          <w:trHeight w:val="162"/>
        </w:trPr>
        <w:tc>
          <w:tcPr>
            <w:tcW w:w="2580" w:type="dxa"/>
            <w:vAlign w:val="bottom"/>
          </w:tcPr>
          <w:p>
            <w:pPr>
              <w:jc w:val="center"/>
              <w:ind w:right="642"/>
              <w:spacing w:after="0"/>
              <w:rPr>
                <w:sz w:val="20"/>
                <w:szCs w:val="20"/>
                <w:color w:val="auto"/>
              </w:rPr>
            </w:pPr>
            <w:r>
              <w:rPr>
                <w:rFonts w:ascii="Arial" w:cs="Arial" w:eastAsia="Arial" w:hAnsi="Arial"/>
                <w:sz w:val="14"/>
                <w:szCs w:val="14"/>
                <w:b w:val="1"/>
                <w:bCs w:val="1"/>
                <w:color w:val="auto"/>
              </w:rPr>
              <w:t>(State or Other Jurisdiction</w:t>
            </w:r>
          </w:p>
        </w:tc>
        <w:tc>
          <w:tcPr>
            <w:tcW w:w="4340" w:type="dxa"/>
            <w:vAlign w:val="bottom"/>
          </w:tcPr>
          <w:p>
            <w:pPr>
              <w:spacing w:after="0"/>
              <w:rPr>
                <w:sz w:val="14"/>
                <w:szCs w:val="14"/>
                <w:color w:val="auto"/>
              </w:rPr>
            </w:pPr>
          </w:p>
        </w:tc>
        <w:tc>
          <w:tcPr>
            <w:tcW w:w="2100" w:type="dxa"/>
            <w:vAlign w:val="bottom"/>
          </w:tcPr>
          <w:p>
            <w:pPr>
              <w:jc w:val="center"/>
              <w:ind w:left="802"/>
              <w:spacing w:after="0"/>
              <w:rPr>
                <w:sz w:val="20"/>
                <w:szCs w:val="20"/>
                <w:color w:val="auto"/>
              </w:rPr>
            </w:pPr>
            <w:r>
              <w:rPr>
                <w:rFonts w:ascii="Arial" w:cs="Arial" w:eastAsia="Arial" w:hAnsi="Arial"/>
                <w:sz w:val="14"/>
                <w:szCs w:val="14"/>
                <w:b w:val="1"/>
                <w:bCs w:val="1"/>
                <w:color w:val="auto"/>
              </w:rPr>
              <w:t>(IRS Employer</w:t>
            </w:r>
          </w:p>
        </w:tc>
      </w:tr>
      <w:tr>
        <w:trPr>
          <w:trHeight w:val="210"/>
        </w:trPr>
        <w:tc>
          <w:tcPr>
            <w:tcW w:w="2580" w:type="dxa"/>
            <w:vAlign w:val="bottom"/>
          </w:tcPr>
          <w:p>
            <w:pPr>
              <w:jc w:val="center"/>
              <w:ind w:right="662"/>
              <w:spacing w:after="0"/>
              <w:rPr>
                <w:sz w:val="20"/>
                <w:szCs w:val="20"/>
                <w:color w:val="auto"/>
              </w:rPr>
            </w:pPr>
            <w:r>
              <w:rPr>
                <w:rFonts w:ascii="Arial" w:cs="Arial" w:eastAsia="Arial" w:hAnsi="Arial"/>
                <w:sz w:val="14"/>
                <w:szCs w:val="14"/>
                <w:b w:val="1"/>
                <w:bCs w:val="1"/>
                <w:color w:val="auto"/>
              </w:rPr>
              <w:t>of Incorporation)</w:t>
            </w:r>
          </w:p>
        </w:tc>
        <w:tc>
          <w:tcPr>
            <w:tcW w:w="4340" w:type="dxa"/>
            <w:vAlign w:val="bottom"/>
          </w:tcPr>
          <w:p>
            <w:pPr>
              <w:jc w:val="center"/>
              <w:ind w:right="79"/>
              <w:spacing w:after="0"/>
              <w:rPr>
                <w:sz w:val="20"/>
                <w:szCs w:val="20"/>
                <w:color w:val="auto"/>
              </w:rPr>
            </w:pPr>
            <w:r>
              <w:rPr>
                <w:rFonts w:ascii="Arial" w:cs="Arial" w:eastAsia="Arial" w:hAnsi="Arial"/>
                <w:sz w:val="14"/>
                <w:szCs w:val="14"/>
                <w:b w:val="1"/>
                <w:bCs w:val="1"/>
                <w:color w:val="auto"/>
              </w:rPr>
              <w:t>(Commission File Number)</w:t>
            </w:r>
          </w:p>
        </w:tc>
        <w:tc>
          <w:tcPr>
            <w:tcW w:w="2100" w:type="dxa"/>
            <w:vAlign w:val="bottom"/>
          </w:tcPr>
          <w:p>
            <w:pPr>
              <w:jc w:val="center"/>
              <w:ind w:left="802"/>
              <w:spacing w:after="0"/>
              <w:rPr>
                <w:sz w:val="20"/>
                <w:szCs w:val="20"/>
                <w:color w:val="auto"/>
              </w:rPr>
            </w:pPr>
            <w:r>
              <w:rPr>
                <w:rFonts w:ascii="Arial" w:cs="Arial" w:eastAsia="Arial" w:hAnsi="Arial"/>
                <w:sz w:val="14"/>
                <w:szCs w:val="14"/>
                <w:b w:val="1"/>
                <w:bCs w:val="1"/>
                <w:color w:val="auto"/>
              </w:rPr>
              <w:t>Identification No.)</w:t>
            </w:r>
          </w:p>
        </w:tc>
      </w:tr>
      <w:tr>
        <w:trPr>
          <w:trHeight w:val="375"/>
        </w:trPr>
        <w:tc>
          <w:tcPr>
            <w:tcW w:w="2580" w:type="dxa"/>
            <w:vAlign w:val="bottom"/>
          </w:tcPr>
          <w:p>
            <w:pPr>
              <w:spacing w:after="0"/>
              <w:rPr>
                <w:sz w:val="24"/>
                <w:szCs w:val="24"/>
                <w:color w:val="auto"/>
              </w:rPr>
            </w:pPr>
          </w:p>
        </w:tc>
        <w:tc>
          <w:tcPr>
            <w:tcW w:w="4340" w:type="dxa"/>
            <w:vAlign w:val="bottom"/>
          </w:tcPr>
          <w:p>
            <w:pPr>
              <w:jc w:val="center"/>
              <w:ind w:right="79"/>
              <w:spacing w:after="0"/>
              <w:rPr>
                <w:sz w:val="20"/>
                <w:szCs w:val="20"/>
                <w:color w:val="auto"/>
              </w:rPr>
            </w:pPr>
            <w:r>
              <w:rPr>
                <w:rFonts w:ascii="Arial" w:cs="Arial" w:eastAsia="Arial" w:hAnsi="Arial"/>
                <w:sz w:val="18"/>
                <w:szCs w:val="18"/>
                <w:b w:val="1"/>
                <w:bCs w:val="1"/>
                <w:color w:val="auto"/>
                <w:w w:val="98"/>
              </w:rPr>
              <w:t>1001 Boylston Street, 16</w:t>
            </w:r>
            <w:r>
              <w:rPr>
                <w:rFonts w:ascii="Arial" w:cs="Arial" w:eastAsia="Arial" w:hAnsi="Arial"/>
                <w:sz w:val="24"/>
                <w:szCs w:val="24"/>
                <w:b w:val="1"/>
                <w:bCs w:val="1"/>
                <w:color w:val="auto"/>
                <w:w w:val="98"/>
                <w:vertAlign w:val="superscript"/>
              </w:rPr>
              <w:t>th</w:t>
            </w:r>
            <w:r>
              <w:rPr>
                <w:rFonts w:ascii="Arial" w:cs="Arial" w:eastAsia="Arial" w:hAnsi="Arial"/>
                <w:sz w:val="18"/>
                <w:szCs w:val="18"/>
                <w:b w:val="1"/>
                <w:bCs w:val="1"/>
                <w:color w:val="auto"/>
                <w:w w:val="98"/>
              </w:rPr>
              <w:t xml:space="preserve"> Floor</w:t>
            </w:r>
          </w:p>
        </w:tc>
        <w:tc>
          <w:tcPr>
            <w:tcW w:w="2100" w:type="dxa"/>
            <w:vAlign w:val="bottom"/>
          </w:tcPr>
          <w:p>
            <w:pPr>
              <w:spacing w:after="0"/>
              <w:rPr>
                <w:sz w:val="24"/>
                <w:szCs w:val="24"/>
                <w:color w:val="auto"/>
              </w:rPr>
            </w:pPr>
          </w:p>
        </w:tc>
      </w:tr>
      <w:tr>
        <w:trPr>
          <w:trHeight w:val="239"/>
        </w:trPr>
        <w:tc>
          <w:tcPr>
            <w:tcW w:w="2580" w:type="dxa"/>
            <w:vAlign w:val="bottom"/>
          </w:tcPr>
          <w:p>
            <w:pPr>
              <w:spacing w:after="0"/>
              <w:rPr>
                <w:sz w:val="20"/>
                <w:szCs w:val="20"/>
                <w:color w:val="auto"/>
              </w:rPr>
            </w:pPr>
          </w:p>
        </w:tc>
        <w:tc>
          <w:tcPr>
            <w:tcW w:w="4340" w:type="dxa"/>
            <w:vAlign w:val="bottom"/>
          </w:tcPr>
          <w:p>
            <w:pPr>
              <w:jc w:val="center"/>
              <w:ind w:right="99"/>
              <w:spacing w:after="0"/>
              <w:rPr>
                <w:sz w:val="20"/>
                <w:szCs w:val="20"/>
                <w:color w:val="auto"/>
              </w:rPr>
            </w:pPr>
            <w:r>
              <w:rPr>
                <w:rFonts w:ascii="Arial" w:cs="Arial" w:eastAsia="Arial" w:hAnsi="Arial"/>
                <w:sz w:val="18"/>
                <w:szCs w:val="18"/>
                <w:b w:val="1"/>
                <w:bCs w:val="1"/>
                <w:color w:val="auto"/>
                <w:w w:val="99"/>
              </w:rPr>
              <w:t>Boston, Massachusetts 02115</w:t>
            </w:r>
          </w:p>
        </w:tc>
        <w:tc>
          <w:tcPr>
            <w:tcW w:w="2100" w:type="dxa"/>
            <w:vAlign w:val="bottom"/>
          </w:tcPr>
          <w:p>
            <w:pPr>
              <w:spacing w:after="0"/>
              <w:rPr>
                <w:sz w:val="20"/>
                <w:szCs w:val="20"/>
                <w:color w:val="auto"/>
              </w:rPr>
            </w:pPr>
          </w:p>
        </w:tc>
      </w:tr>
      <w:tr>
        <w:trPr>
          <w:trHeight w:val="196"/>
        </w:trPr>
        <w:tc>
          <w:tcPr>
            <w:tcW w:w="2580" w:type="dxa"/>
            <w:vAlign w:val="bottom"/>
          </w:tcPr>
          <w:p>
            <w:pPr>
              <w:spacing w:after="0"/>
              <w:rPr>
                <w:sz w:val="17"/>
                <w:szCs w:val="17"/>
                <w:color w:val="auto"/>
              </w:rPr>
            </w:pPr>
          </w:p>
        </w:tc>
        <w:tc>
          <w:tcPr>
            <w:tcW w:w="4340" w:type="dxa"/>
            <w:vAlign w:val="bottom"/>
          </w:tcPr>
          <w:p>
            <w:pPr>
              <w:jc w:val="center"/>
              <w:ind w:right="79"/>
              <w:spacing w:after="0"/>
              <w:rPr>
                <w:sz w:val="20"/>
                <w:szCs w:val="20"/>
                <w:color w:val="auto"/>
              </w:rPr>
            </w:pPr>
            <w:r>
              <w:rPr>
                <w:rFonts w:ascii="Arial" w:cs="Arial" w:eastAsia="Arial" w:hAnsi="Arial"/>
                <w:sz w:val="14"/>
                <w:szCs w:val="14"/>
                <w:b w:val="1"/>
                <w:bCs w:val="1"/>
                <w:color w:val="auto"/>
              </w:rPr>
              <w:t>(Address of Principal Executive Offices)</w:t>
            </w:r>
          </w:p>
        </w:tc>
        <w:tc>
          <w:tcPr>
            <w:tcW w:w="2100" w:type="dxa"/>
            <w:vAlign w:val="bottom"/>
          </w:tcPr>
          <w:p>
            <w:pPr>
              <w:spacing w:after="0"/>
              <w:rPr>
                <w:sz w:val="17"/>
                <w:szCs w:val="17"/>
                <w:color w:val="auto"/>
              </w:rPr>
            </w:pPr>
          </w:p>
        </w:tc>
      </w:tr>
      <w:tr>
        <w:trPr>
          <w:trHeight w:val="243"/>
        </w:trPr>
        <w:tc>
          <w:tcPr>
            <w:tcW w:w="2580" w:type="dxa"/>
            <w:vAlign w:val="bottom"/>
          </w:tcPr>
          <w:p>
            <w:pPr>
              <w:spacing w:after="0"/>
              <w:rPr>
                <w:sz w:val="21"/>
                <w:szCs w:val="21"/>
                <w:color w:val="auto"/>
              </w:rPr>
            </w:pPr>
          </w:p>
        </w:tc>
        <w:tc>
          <w:tcPr>
            <w:tcW w:w="4340" w:type="dxa"/>
            <w:vAlign w:val="bottom"/>
          </w:tcPr>
          <w:p>
            <w:pPr>
              <w:jc w:val="center"/>
              <w:ind w:right="99"/>
              <w:spacing w:after="0"/>
              <w:rPr>
                <w:sz w:val="20"/>
                <w:szCs w:val="20"/>
                <w:color w:val="auto"/>
              </w:rPr>
            </w:pPr>
            <w:r>
              <w:rPr>
                <w:rFonts w:ascii="Arial" w:cs="Arial" w:eastAsia="Arial" w:hAnsi="Arial"/>
                <w:sz w:val="14"/>
                <w:szCs w:val="14"/>
                <w:b w:val="1"/>
                <w:bCs w:val="1"/>
                <w:color w:val="auto"/>
              </w:rPr>
              <w:t>(Zip Code)</w:t>
            </w:r>
          </w:p>
        </w:tc>
        <w:tc>
          <w:tcPr>
            <w:tcW w:w="2100" w:type="dxa"/>
            <w:vAlign w:val="bottom"/>
          </w:tcPr>
          <w:p>
            <w:pPr>
              <w:spacing w:after="0"/>
              <w:rPr>
                <w:sz w:val="21"/>
                <w:szCs w:val="21"/>
                <w:color w:val="auto"/>
              </w:rPr>
            </w:pPr>
          </w:p>
        </w:tc>
      </w:tr>
    </w:tbl>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354-0068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172085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right="140"/>
        <w:spacing w:after="0" w:line="24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89"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7"/>
        </w:trPr>
        <w:tc>
          <w:tcPr>
            <w:tcW w:w="4280" w:type="dxa"/>
            <w:vAlign w:val="bottom"/>
          </w:tcPr>
          <w:p>
            <w:pPr>
              <w:jc w:val="center"/>
              <w:spacing w:after="0" w:line="177" w:lineRule="exact"/>
              <w:rPr>
                <w:sz w:val="20"/>
                <w:szCs w:val="20"/>
                <w:color w:val="auto"/>
              </w:rPr>
            </w:pPr>
            <w:r>
              <w:rPr>
                <w:rFonts w:ascii="Arial" w:cs="Arial" w:eastAsia="Arial" w:hAnsi="Arial"/>
                <w:sz w:val="18"/>
                <w:szCs w:val="18"/>
                <w:color w:val="auto"/>
              </w:rPr>
              <w:t>Class A Common Stock,</w:t>
            </w:r>
          </w:p>
        </w:tc>
        <w:tc>
          <w:tcPr>
            <w:tcW w:w="120" w:type="dxa"/>
            <w:vAlign w:val="bottom"/>
          </w:tcPr>
          <w:p>
            <w:pPr>
              <w:spacing w:after="0"/>
              <w:rPr>
                <w:sz w:val="15"/>
                <w:szCs w:val="15"/>
                <w:color w:val="auto"/>
              </w:rPr>
            </w:pPr>
          </w:p>
        </w:tc>
        <w:tc>
          <w:tcPr>
            <w:tcW w:w="1680" w:type="dxa"/>
            <w:vAlign w:val="bottom"/>
          </w:tcPr>
          <w:p>
            <w:pPr>
              <w:jc w:val="center"/>
              <w:spacing w:after="0" w:line="177" w:lineRule="exact"/>
              <w:rPr>
                <w:sz w:val="20"/>
                <w:szCs w:val="20"/>
                <w:color w:val="auto"/>
              </w:rPr>
            </w:pPr>
            <w:r>
              <w:rPr>
                <w:rFonts w:ascii="Arial" w:cs="Arial" w:eastAsia="Arial" w:hAnsi="Arial"/>
                <w:sz w:val="18"/>
                <w:szCs w:val="18"/>
                <w:color w:val="auto"/>
                <w:w w:val="99"/>
              </w:rPr>
              <w:t>CARG</w:t>
            </w:r>
          </w:p>
        </w:tc>
        <w:tc>
          <w:tcPr>
            <w:tcW w:w="120" w:type="dxa"/>
            <w:vAlign w:val="bottom"/>
          </w:tcPr>
          <w:p>
            <w:pPr>
              <w:spacing w:after="0"/>
              <w:rPr>
                <w:sz w:val="15"/>
                <w:szCs w:val="15"/>
                <w:color w:val="auto"/>
              </w:rPr>
            </w:pPr>
          </w:p>
        </w:tc>
        <w:tc>
          <w:tcPr>
            <w:tcW w:w="5040" w:type="dxa"/>
            <w:vAlign w:val="bottom"/>
          </w:tcPr>
          <w:p>
            <w:pPr>
              <w:jc w:val="center"/>
              <w:spacing w:after="0" w:line="177" w:lineRule="exact"/>
              <w:rPr>
                <w:sz w:val="20"/>
                <w:szCs w:val="20"/>
                <w:color w:val="auto"/>
              </w:rPr>
            </w:pPr>
            <w:r>
              <w:rPr>
                <w:rFonts w:ascii="Arial" w:cs="Arial" w:eastAsia="Arial" w:hAnsi="Arial"/>
                <w:sz w:val="18"/>
                <w:szCs w:val="18"/>
                <w:color w:val="auto"/>
                <w:w w:val="99"/>
              </w:rPr>
              <w:t>The Nasdaq Stock Market LLC</w:t>
            </w:r>
          </w:p>
        </w:tc>
      </w:tr>
      <w:tr>
        <w:trPr>
          <w:trHeight w:val="239"/>
        </w:trPr>
        <w:tc>
          <w:tcPr>
            <w:tcW w:w="4280" w:type="dxa"/>
            <w:vAlign w:val="bottom"/>
          </w:tcPr>
          <w:p>
            <w:pPr>
              <w:jc w:val="center"/>
              <w:spacing w:after="0"/>
              <w:rPr>
                <w:sz w:val="20"/>
                <w:szCs w:val="20"/>
                <w:color w:val="auto"/>
              </w:rPr>
            </w:pPr>
            <w:r>
              <w:rPr>
                <w:rFonts w:ascii="Arial" w:cs="Arial" w:eastAsia="Arial" w:hAnsi="Arial"/>
                <w:sz w:val="18"/>
                <w:szCs w:val="18"/>
                <w:color w:val="auto"/>
                <w:w w:val="99"/>
              </w:rPr>
              <w:t>par value $0.001 per share</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26" w:lineRule="exact"/>
        <w:rPr>
          <w:sz w:val="24"/>
          <w:szCs w:val="24"/>
          <w:color w:val="auto"/>
        </w:rPr>
      </w:pPr>
    </w:p>
    <w:p>
      <w:pPr>
        <w:ind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0763D3"/>
        </w:rPr>
        <w:t>Item 5.07 Submission of Matters to a Vote of Security Holders.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June 3, 2026, CarGurus, Inc. (the “Company”) held its 2026 annual meeting of stockholders (the “Annual Meeting”) to consider and vote on the three proposals set forth below, each of which is described in greater detail in the Company’s definitive proxy statement on Schedule 14A filed with the U.S. Securities and Exchange Commission on April 22, 2026 (the “Proxy Statement”). The final voting results from the Annual Meeting are set forth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0763D3"/>
        </w:rPr>
        <w:t>Proposal 1 – Election of Directors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stockholders elected the nominees named below to serve as the Class III directors for a term ending in 2029, or until their respective successors have been duly elected and qualified. The results of such vote were as follows:</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08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Director Name</w:t>
            </w:r>
          </w:p>
        </w:tc>
        <w:tc>
          <w:tcPr>
            <w:tcW w:w="26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rPr>
              <w:t>Votes For</w:t>
            </w:r>
          </w:p>
        </w:tc>
        <w:tc>
          <w:tcPr>
            <w:tcW w:w="2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Votes Withheld</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Broker Non-Votes</w:t>
            </w:r>
          </w:p>
        </w:tc>
      </w:tr>
      <w:tr>
        <w:trPr>
          <w:trHeight w:val="196"/>
        </w:trPr>
        <w:tc>
          <w:tcPr>
            <w:tcW w:w="20" w:type="dxa"/>
            <w:vAlign w:val="bottom"/>
          </w:tcPr>
          <w:p>
            <w:pPr>
              <w:spacing w:after="0"/>
              <w:rPr>
                <w:sz w:val="17"/>
                <w:szCs w:val="17"/>
                <w:color w:val="auto"/>
              </w:rPr>
            </w:pPr>
          </w:p>
        </w:tc>
        <w:tc>
          <w:tcPr>
            <w:tcW w:w="3080" w:type="dxa"/>
            <w:vAlign w:val="bottom"/>
            <w:shd w:val="clear" w:color="auto" w:fill="EEF2F7"/>
          </w:tcPr>
          <w:p>
            <w:pPr>
              <w:spacing w:after="0" w:line="196" w:lineRule="exact"/>
              <w:rPr>
                <w:sz w:val="20"/>
                <w:szCs w:val="20"/>
                <w:color w:val="auto"/>
              </w:rPr>
            </w:pPr>
            <w:r>
              <w:rPr>
                <w:rFonts w:ascii="Arial" w:cs="Arial" w:eastAsia="Arial" w:hAnsi="Arial"/>
                <w:sz w:val="18"/>
                <w:szCs w:val="18"/>
                <w:color w:val="auto"/>
              </w:rPr>
              <w:t>Manik Gupta</w:t>
            </w:r>
          </w:p>
        </w:tc>
        <w:tc>
          <w:tcPr>
            <w:tcW w:w="2640" w:type="dxa"/>
            <w:vAlign w:val="bottom"/>
            <w:shd w:val="clear" w:color="auto" w:fill="EEF2F7"/>
          </w:tcPr>
          <w:p>
            <w:pPr>
              <w:jc w:val="center"/>
              <w:ind w:left="70"/>
              <w:spacing w:after="0" w:line="196" w:lineRule="exact"/>
              <w:rPr>
                <w:sz w:val="20"/>
                <w:szCs w:val="20"/>
                <w:color w:val="auto"/>
              </w:rPr>
            </w:pPr>
            <w:r>
              <w:rPr>
                <w:rFonts w:ascii="Arial" w:cs="Arial" w:eastAsia="Arial" w:hAnsi="Arial"/>
                <w:sz w:val="18"/>
                <w:szCs w:val="18"/>
                <w:color w:val="auto"/>
                <w:w w:val="99"/>
              </w:rPr>
              <w:t>177,165,895</w:t>
            </w:r>
          </w:p>
        </w:tc>
        <w:tc>
          <w:tcPr>
            <w:tcW w:w="2660" w:type="dxa"/>
            <w:vAlign w:val="bottom"/>
            <w:shd w:val="clear" w:color="auto" w:fill="EEF2F7"/>
          </w:tcPr>
          <w:p>
            <w:pPr>
              <w:jc w:val="center"/>
              <w:ind w:left="30"/>
              <w:spacing w:after="0" w:line="196" w:lineRule="exact"/>
              <w:rPr>
                <w:sz w:val="20"/>
                <w:szCs w:val="20"/>
                <w:color w:val="auto"/>
              </w:rPr>
            </w:pPr>
            <w:r>
              <w:rPr>
                <w:rFonts w:ascii="Arial" w:cs="Arial" w:eastAsia="Arial" w:hAnsi="Arial"/>
                <w:sz w:val="18"/>
                <w:szCs w:val="18"/>
                <w:color w:val="auto"/>
                <w:w w:val="99"/>
              </w:rPr>
              <w:t>30,312,145</w:t>
            </w:r>
          </w:p>
        </w:tc>
        <w:tc>
          <w:tcPr>
            <w:tcW w:w="2720" w:type="dxa"/>
            <w:vAlign w:val="bottom"/>
            <w:shd w:val="clear" w:color="auto" w:fill="EEF2F7"/>
          </w:tcPr>
          <w:p>
            <w:pPr>
              <w:jc w:val="center"/>
              <w:spacing w:after="0" w:line="196" w:lineRule="exact"/>
              <w:rPr>
                <w:sz w:val="20"/>
                <w:szCs w:val="20"/>
                <w:color w:val="auto"/>
              </w:rPr>
            </w:pPr>
            <w:r>
              <w:rPr>
                <w:rFonts w:ascii="Arial" w:cs="Arial" w:eastAsia="Arial" w:hAnsi="Arial"/>
                <w:sz w:val="18"/>
                <w:szCs w:val="18"/>
                <w:color w:val="auto"/>
                <w:w w:val="99"/>
              </w:rPr>
              <w:t>6,352,686</w:t>
            </w:r>
          </w:p>
        </w:tc>
      </w:tr>
      <w:tr>
        <w:trPr>
          <w:trHeight w:val="239"/>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Langley Steinert</w:t>
            </w:r>
          </w:p>
        </w:tc>
        <w:tc>
          <w:tcPr>
            <w:tcW w:w="2640" w:type="dxa"/>
            <w:vAlign w:val="bottom"/>
          </w:tcPr>
          <w:p>
            <w:pPr>
              <w:jc w:val="center"/>
              <w:ind w:left="70"/>
              <w:spacing w:after="0"/>
              <w:rPr>
                <w:sz w:val="20"/>
                <w:szCs w:val="20"/>
                <w:color w:val="auto"/>
              </w:rPr>
            </w:pPr>
            <w:r>
              <w:rPr>
                <w:rFonts w:ascii="Arial" w:cs="Arial" w:eastAsia="Arial" w:hAnsi="Arial"/>
                <w:sz w:val="18"/>
                <w:szCs w:val="18"/>
                <w:color w:val="auto"/>
                <w:w w:val="99"/>
              </w:rPr>
              <w:t>187,011,461</w:t>
            </w:r>
          </w:p>
        </w:tc>
        <w:tc>
          <w:tcPr>
            <w:tcW w:w="2660" w:type="dxa"/>
            <w:vAlign w:val="bottom"/>
          </w:tcPr>
          <w:p>
            <w:pPr>
              <w:jc w:val="center"/>
              <w:ind w:left="30"/>
              <w:spacing w:after="0"/>
              <w:rPr>
                <w:sz w:val="20"/>
                <w:szCs w:val="20"/>
                <w:color w:val="auto"/>
              </w:rPr>
            </w:pPr>
            <w:r>
              <w:rPr>
                <w:rFonts w:ascii="Arial" w:cs="Arial" w:eastAsia="Arial" w:hAnsi="Arial"/>
                <w:sz w:val="18"/>
                <w:szCs w:val="18"/>
                <w:color w:val="auto"/>
                <w:w w:val="99"/>
              </w:rPr>
              <w:t>20,466,579</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6,352,686</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0763D3"/>
        </w:rPr>
        <w:t>Proposal 2 – Ratification of Appointment of Independent Registered Public Accounting Firm</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stockholders ratified the appointment of Ernst &amp; Young LLP, an independent registered public accounting firm, as the Company’s independent auditors for the year ending December 31, 2026. The results of such vote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Votes For</w:t>
            </w:r>
          </w:p>
        </w:tc>
        <w:tc>
          <w:tcPr>
            <w:tcW w:w="3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Votes Against</w:t>
            </w:r>
          </w:p>
        </w:tc>
        <w:tc>
          <w:tcPr>
            <w:tcW w:w="24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Abstentions</w:t>
            </w:r>
          </w:p>
        </w:tc>
        <w:tc>
          <w:tcPr>
            <w:tcW w:w="26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Broker Non-Votes</w:t>
            </w:r>
          </w:p>
        </w:tc>
      </w:tr>
      <w:tr>
        <w:trPr>
          <w:trHeight w:val="197"/>
        </w:trPr>
        <w:tc>
          <w:tcPr>
            <w:tcW w:w="3060" w:type="dxa"/>
            <w:vAlign w:val="bottom"/>
            <w:shd w:val="clear" w:color="auto" w:fill="EEF2F7"/>
          </w:tcPr>
          <w:p>
            <w:pPr>
              <w:jc w:val="right"/>
              <w:ind w:right="890"/>
              <w:spacing w:after="0" w:line="197" w:lineRule="exact"/>
              <w:rPr>
                <w:sz w:val="20"/>
                <w:szCs w:val="20"/>
                <w:color w:val="auto"/>
              </w:rPr>
            </w:pPr>
            <w:r>
              <w:rPr>
                <w:rFonts w:ascii="Arial" w:cs="Arial" w:eastAsia="Arial" w:hAnsi="Arial"/>
                <w:sz w:val="18"/>
                <w:szCs w:val="18"/>
                <w:color w:val="auto"/>
              </w:rPr>
              <w:t>213,460,852</w:t>
            </w:r>
          </w:p>
        </w:tc>
        <w:tc>
          <w:tcPr>
            <w:tcW w:w="3020" w:type="dxa"/>
            <w:vAlign w:val="bottom"/>
            <w:shd w:val="clear" w:color="auto" w:fill="EEF2F7"/>
          </w:tcPr>
          <w:p>
            <w:pPr>
              <w:jc w:val="right"/>
              <w:ind w:right="1010"/>
              <w:spacing w:after="0" w:line="197" w:lineRule="exact"/>
              <w:rPr>
                <w:sz w:val="20"/>
                <w:szCs w:val="20"/>
                <w:color w:val="auto"/>
              </w:rPr>
            </w:pPr>
            <w:r>
              <w:rPr>
                <w:rFonts w:ascii="Arial" w:cs="Arial" w:eastAsia="Arial" w:hAnsi="Arial"/>
                <w:sz w:val="18"/>
                <w:szCs w:val="18"/>
                <w:color w:val="auto"/>
              </w:rPr>
              <w:t>345,220</w:t>
            </w:r>
          </w:p>
        </w:tc>
        <w:tc>
          <w:tcPr>
            <w:tcW w:w="2480" w:type="dxa"/>
            <w:vAlign w:val="bottom"/>
            <w:shd w:val="clear" w:color="auto" w:fill="EEF2F7"/>
          </w:tcPr>
          <w:p>
            <w:pPr>
              <w:jc w:val="right"/>
              <w:ind w:right="770"/>
              <w:spacing w:after="0" w:line="197" w:lineRule="exact"/>
              <w:rPr>
                <w:sz w:val="20"/>
                <w:szCs w:val="20"/>
                <w:color w:val="auto"/>
              </w:rPr>
            </w:pPr>
            <w:r>
              <w:rPr>
                <w:rFonts w:ascii="Arial" w:cs="Arial" w:eastAsia="Arial" w:hAnsi="Arial"/>
                <w:sz w:val="18"/>
                <w:szCs w:val="18"/>
                <w:color w:val="auto"/>
              </w:rPr>
              <w:t>24,654</w:t>
            </w:r>
          </w:p>
        </w:tc>
        <w:tc>
          <w:tcPr>
            <w:tcW w:w="2680" w:type="dxa"/>
            <w:vAlign w:val="bottom"/>
            <w:shd w:val="clear" w:color="auto" w:fill="EEF2F7"/>
          </w:tcPr>
          <w:p>
            <w:pPr>
              <w:jc w:val="right"/>
              <w:ind w:right="1130"/>
              <w:spacing w:after="0" w:line="197" w:lineRule="exact"/>
              <w:rPr>
                <w:sz w:val="20"/>
                <w:szCs w:val="20"/>
                <w:color w:val="auto"/>
              </w:rPr>
            </w:pPr>
            <w:r>
              <w:rPr>
                <w:rFonts w:ascii="Arial" w:cs="Arial" w:eastAsia="Arial" w:hAnsi="Arial"/>
                <w:sz w:val="18"/>
                <w:szCs w:val="18"/>
                <w:color w:val="auto"/>
              </w:rPr>
              <w:t>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0763D3"/>
        </w:rPr>
        <w:t>Proposal 3 – Non-binding Advisory Vote to Approve the Compensation of the Company’s Named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voted to approve, on a non-binding advisory basis, the compensation of the Company’s named executive officers for 2025.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such vote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Votes For</w:t>
            </w:r>
          </w:p>
        </w:tc>
        <w:tc>
          <w:tcPr>
            <w:tcW w:w="3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Votes Against</w:t>
            </w:r>
          </w:p>
        </w:tc>
        <w:tc>
          <w:tcPr>
            <w:tcW w:w="24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Abstentions</w:t>
            </w:r>
          </w:p>
        </w:tc>
        <w:tc>
          <w:tcPr>
            <w:tcW w:w="26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Broker Non-Votes</w:t>
            </w:r>
          </w:p>
        </w:tc>
      </w:tr>
      <w:tr>
        <w:trPr>
          <w:trHeight w:val="197"/>
        </w:trPr>
        <w:tc>
          <w:tcPr>
            <w:tcW w:w="3060" w:type="dxa"/>
            <w:vAlign w:val="bottom"/>
            <w:shd w:val="clear" w:color="auto" w:fill="EEF2F7"/>
          </w:tcPr>
          <w:p>
            <w:pPr>
              <w:jc w:val="right"/>
              <w:ind w:right="890"/>
              <w:spacing w:after="0" w:line="197" w:lineRule="exact"/>
              <w:rPr>
                <w:sz w:val="20"/>
                <w:szCs w:val="20"/>
                <w:color w:val="auto"/>
              </w:rPr>
            </w:pPr>
            <w:r>
              <w:rPr>
                <w:rFonts w:ascii="Arial" w:cs="Arial" w:eastAsia="Arial" w:hAnsi="Arial"/>
                <w:sz w:val="18"/>
                <w:szCs w:val="18"/>
                <w:color w:val="auto"/>
              </w:rPr>
              <w:t>195,635,270</w:t>
            </w:r>
          </w:p>
        </w:tc>
        <w:tc>
          <w:tcPr>
            <w:tcW w:w="3020" w:type="dxa"/>
            <w:vAlign w:val="bottom"/>
            <w:shd w:val="clear" w:color="auto" w:fill="EEF2F7"/>
          </w:tcPr>
          <w:p>
            <w:pPr>
              <w:jc w:val="right"/>
              <w:ind w:right="890"/>
              <w:spacing w:after="0" w:line="197" w:lineRule="exact"/>
              <w:rPr>
                <w:sz w:val="20"/>
                <w:szCs w:val="20"/>
                <w:color w:val="auto"/>
              </w:rPr>
            </w:pPr>
            <w:r>
              <w:rPr>
                <w:rFonts w:ascii="Arial" w:cs="Arial" w:eastAsia="Arial" w:hAnsi="Arial"/>
                <w:sz w:val="18"/>
                <w:szCs w:val="18"/>
                <w:color w:val="auto"/>
              </w:rPr>
              <w:t>11,812,537</w:t>
            </w:r>
          </w:p>
        </w:tc>
        <w:tc>
          <w:tcPr>
            <w:tcW w:w="2480" w:type="dxa"/>
            <w:vAlign w:val="bottom"/>
            <w:shd w:val="clear" w:color="auto" w:fill="EEF2F7"/>
          </w:tcPr>
          <w:p>
            <w:pPr>
              <w:jc w:val="right"/>
              <w:ind w:right="770"/>
              <w:spacing w:after="0" w:line="197" w:lineRule="exact"/>
              <w:rPr>
                <w:sz w:val="20"/>
                <w:szCs w:val="20"/>
                <w:color w:val="auto"/>
              </w:rPr>
            </w:pPr>
            <w:r>
              <w:rPr>
                <w:rFonts w:ascii="Arial" w:cs="Arial" w:eastAsia="Arial" w:hAnsi="Arial"/>
                <w:sz w:val="18"/>
                <w:szCs w:val="18"/>
                <w:color w:val="auto"/>
              </w:rPr>
              <w:t>30,233</w:t>
            </w:r>
          </w:p>
        </w:tc>
        <w:tc>
          <w:tcPr>
            <w:tcW w:w="2680" w:type="dxa"/>
            <w:vAlign w:val="bottom"/>
            <w:shd w:val="clear" w:color="auto" w:fill="EEF2F7"/>
          </w:tcPr>
          <w:p>
            <w:pPr>
              <w:jc w:val="right"/>
              <w:ind w:right="790"/>
              <w:spacing w:after="0" w:line="197" w:lineRule="exact"/>
              <w:rPr>
                <w:sz w:val="20"/>
                <w:szCs w:val="20"/>
                <w:color w:val="auto"/>
              </w:rPr>
            </w:pPr>
            <w:r>
              <w:rPr>
                <w:rFonts w:ascii="Arial" w:cs="Arial" w:eastAsia="Arial" w:hAnsi="Arial"/>
                <w:sz w:val="18"/>
                <w:szCs w:val="18"/>
                <w:color w:val="auto"/>
              </w:rPr>
              <w:t>6,352,686</w:t>
            </w:r>
          </w:p>
        </w:tc>
      </w:tr>
      <w:tr>
        <w:trPr>
          <w:trHeight w:val="1370"/>
        </w:trPr>
        <w:tc>
          <w:tcPr>
            <w:tcW w:w="30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CARGURUS, INC.</w:t>
      </w:r>
    </w:p>
    <w:p>
      <w:pPr>
        <w:spacing w:after="0" w:line="198"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June 4, 2026</w:t>
      </w:r>
      <w:r>
        <w:rPr>
          <w:sz w:val="20"/>
          <w:szCs w:val="20"/>
          <w:color w:val="auto"/>
        </w:rPr>
        <w:tab/>
      </w:r>
      <w:r>
        <w:rPr>
          <w:rFonts w:ascii="Arial" w:cs="Arial" w:eastAsia="Arial" w:hAnsi="Arial"/>
          <w:sz w:val="18"/>
          <w:szCs w:val="18"/>
          <w:color w:val="auto"/>
        </w:rPr>
        <w:t>By: /s/ Javier Zamora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Javier Zamora</w:t>
      </w:r>
    </w:p>
    <w:p>
      <w:pPr>
        <w:ind w:left="6020"/>
        <w:spacing w:after="0"/>
        <w:rPr>
          <w:sz w:val="20"/>
          <w:szCs w:val="20"/>
          <w:color w:val="auto"/>
        </w:rPr>
      </w:pPr>
      <w:r>
        <w:rPr>
          <w:rFonts w:ascii="Arial" w:cs="Arial" w:eastAsia="Arial" w:hAnsi="Arial"/>
          <w:sz w:val="18"/>
          <w:szCs w:val="18"/>
          <w:color w:val="auto"/>
        </w:rPr>
        <w:t>Title: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2026-06-04T15:05:59Z</dcterms:created>
  <dcterms:modified xsi:type="dcterms:W3CDTF">2026-06-04T15:05:59Z</dcterms:modified>
</cp:coreProperties>
</file>