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38735</wp:posOffset>
            </wp:positionV>
            <wp:extent cx="6972935" cy="1557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55765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Steinert Langley</w:t>
        </w:r>
      </w:hyperlink>
    </w:p>
    <w:p>
      <w:pPr>
        <w:spacing w:after="0" w:line="2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 CANAL PARK,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CarGurus,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CARG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02/10/2021</w:t>
      </w:r>
    </w:p>
    <w:p>
      <w:pPr>
        <w:spacing w:after="0" w:line="20" w:lineRule="exact"/>
        <w:rPr>
          <w:sz w:val="24"/>
          <w:szCs w:val="24"/>
          <w:color w:val="auto"/>
        </w:rPr>
      </w:pPr>
      <w:r>
        <w:rPr>
          <w:sz w:val="24"/>
          <w:szCs w:val="24"/>
          <w:color w:val="auto"/>
        </w:rPr>
        <w:br w:type="column"/>
      </w:r>
    </w:p>
    <w:p>
      <w:pPr>
        <w:ind w:left="-3" w:right="720" w:firstLine="3"/>
        <w:spacing w:after="0" w:line="273"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7"/>
        <w:spacing w:after="0"/>
        <w:tabs>
          <w:tab w:leader="none" w:pos="496" w:val="left"/>
          <w:tab w:leader="none" w:pos="1756" w:val="left"/>
          <w:tab w:leader="none" w:pos="2076"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ind w:left="197"/>
        <w:spacing w:after="0"/>
        <w:tabs>
          <w:tab w:leader="none" w:pos="496" w:val="left"/>
          <w:tab w:leader="none" w:pos="2076" w:val="left"/>
        </w:tabs>
        <w:rPr>
          <w:sz w:val="20"/>
          <w:szCs w:val="20"/>
          <w:color w:val="auto"/>
        </w:rPr>
      </w:pPr>
      <w:r>
        <w:rPr>
          <w:rFonts w:ascii="Times New Roman" w:cs="Times New Roman" w:eastAsia="Times New Roman" w:hAnsi="Times New Roman"/>
          <w:sz w:val="20"/>
          <w:szCs w:val="20"/>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36"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917"/>
        <w:spacing w:after="0"/>
        <w:rPr>
          <w:sz w:val="20"/>
          <w:szCs w:val="20"/>
          <w:color w:val="auto"/>
        </w:rPr>
      </w:pPr>
      <w:r>
        <w:rPr>
          <w:rFonts w:ascii="Times New Roman" w:cs="Times New Roman" w:eastAsia="Times New Roman" w:hAnsi="Times New Roman"/>
          <w:sz w:val="16"/>
          <w:szCs w:val="16"/>
          <w:color w:val="0000FF"/>
        </w:rPr>
        <w:t>Executive Chairman</w:t>
      </w:r>
    </w:p>
    <w:p>
      <w:pPr>
        <w:spacing w:after="0" w:line="262"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gridSpan w:val="6"/>
          </w:tcPr>
          <w:p>
            <w:pPr>
              <w:jc w:val="center"/>
              <w:ind w:right="120"/>
              <w:spacing w:after="0"/>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10"/>
          </w:tcPr>
          <w:p>
            <w:pPr>
              <w:ind w:left="3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CAMBRIDGE</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940" w:type="dxa"/>
            <w:vAlign w:val="bottom"/>
          </w:tcPr>
          <w:p>
            <w:pPr>
              <w:spacing w:after="0"/>
              <w:rPr>
                <w:sz w:val="14"/>
                <w:szCs w:val="14"/>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02141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360"/>
              <w:spacing w:after="0"/>
              <w:rPr>
                <w:sz w:val="20"/>
                <w:szCs w:val="20"/>
                <w:color w:val="auto"/>
              </w:rPr>
            </w:pPr>
            <w:r>
              <w:rPr>
                <w:rFonts w:ascii="Arial" w:cs="Arial" w:eastAsia="Arial" w:hAnsi="Arial"/>
                <w:sz w:val="12"/>
                <w:szCs w:val="12"/>
                <w:color w:val="auto"/>
              </w:rPr>
              <w:t>Line)</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980" w:type="dxa"/>
            <w:vAlign w:val="bottom"/>
            <w:gridSpan w:val="6"/>
            <w:vMerge w:val="restart"/>
          </w:tcPr>
          <w:p>
            <w:pPr>
              <w:ind w:left="5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0" w:type="dxa"/>
            <w:vAlign w:val="bottom"/>
            <w:gridSpan w:val="8"/>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2"/>
          </w:tcPr>
          <w:p>
            <w:pPr>
              <w:jc w:val="center"/>
              <w:ind w:left="4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ind w:left="760"/>
              <w:spacing w:after="0" w:line="120"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0"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0" w:type="dxa"/>
            <w:vAlign w:val="bottom"/>
            <w:gridSpan w:val="3"/>
          </w:tcPr>
          <w:p>
            <w:pPr>
              <w:ind w:left="7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gridSpan w:val="5"/>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02/10/2021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w w:val="93"/>
              </w:rPr>
              <w:t>35,102</w:t>
            </w:r>
            <w:r>
              <w:rPr>
                <w:rFonts w:ascii="Times New Roman" w:cs="Times New Roman" w:eastAsia="Times New Roman" w:hAnsi="Times New Roman"/>
                <w:sz w:val="20"/>
                <w:szCs w:val="20"/>
                <w:color w:val="008000"/>
                <w:w w:val="93"/>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540" w:type="dxa"/>
            <w:vAlign w:val="bottom"/>
            <w:tcBorders>
              <w:bottom w:val="single" w:sz="8" w:color="2C2C2C"/>
            </w:tcBorders>
            <w:gridSpan w:val="3"/>
          </w:tcPr>
          <w:p>
            <w:pPr>
              <w:jc w:val="right"/>
              <w:ind w:right="643"/>
              <w:spacing w:after="0"/>
              <w:rPr>
                <w:sz w:val="20"/>
                <w:szCs w:val="20"/>
                <w:color w:val="auto"/>
              </w:rPr>
            </w:pPr>
            <w:r>
              <w:rPr>
                <w:rFonts w:ascii="Times New Roman" w:cs="Times New Roman" w:eastAsia="Times New Roman" w:hAnsi="Times New Roman"/>
                <w:sz w:val="16"/>
                <w:szCs w:val="16"/>
                <w:color w:val="0000FF"/>
              </w:rPr>
              <w:t>500,623</w:t>
            </w: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gridSpan w:val="3"/>
            <w:vMerge w:val="restart"/>
          </w:tcPr>
          <w:p>
            <w:pPr>
              <w:jc w:val="right"/>
              <w:ind w:right="683"/>
              <w:spacing w:after="0"/>
              <w:rPr>
                <w:sz w:val="20"/>
                <w:szCs w:val="20"/>
                <w:color w:val="auto"/>
              </w:rPr>
            </w:pPr>
            <w:r>
              <w:rPr>
                <w:rFonts w:ascii="Times New Roman" w:cs="Times New Roman" w:eastAsia="Times New Roman" w:hAnsi="Times New Roman"/>
                <w:sz w:val="16"/>
                <w:szCs w:val="16"/>
                <w:color w:val="0000FF"/>
              </w:rPr>
              <w:t>69,976</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6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0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7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4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Underlying Derivative</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Security (Instr. 3 and</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Security</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color w:val="0000FF"/>
              </w:rPr>
              <w:t>36,507</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 Option</w:t>
            </w:r>
          </w:p>
        </w:tc>
        <w:tc>
          <w:tcPr>
            <w:tcW w:w="800" w:type="dxa"/>
            <w:vAlign w:val="bottom"/>
            <w:gridSpan w:val="2"/>
          </w:tcPr>
          <w:p>
            <w:pPr>
              <w:jc w:val="center"/>
              <w:ind w:right="168"/>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35.61</w:t>
            </w:r>
          </w:p>
        </w:tc>
        <w:tc>
          <w:tcPr>
            <w:tcW w:w="940" w:type="dxa"/>
            <w:vAlign w:val="bottom"/>
          </w:tcPr>
          <w:p>
            <w:pPr>
              <w:jc w:val="right"/>
              <w:ind w:right="118"/>
              <w:spacing w:after="0" w:line="137" w:lineRule="exact"/>
              <w:rPr>
                <w:sz w:val="20"/>
                <w:szCs w:val="20"/>
                <w:color w:val="auto"/>
              </w:rPr>
            </w:pPr>
            <w:r>
              <w:rPr>
                <w:rFonts w:ascii="Times New Roman" w:cs="Times New Roman" w:eastAsia="Times New Roman" w:hAnsi="Times New Roman"/>
                <w:sz w:val="12"/>
                <w:szCs w:val="12"/>
                <w:color w:val="0000FF"/>
              </w:rPr>
              <w:t>02/10/2021</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720" w:type="dxa"/>
            <w:vAlign w:val="bottom"/>
          </w:tcPr>
          <w:p>
            <w:pPr>
              <w:jc w:val="right"/>
              <w:ind w:right="103"/>
              <w:spacing w:after="0" w:line="137" w:lineRule="exact"/>
              <w:rPr>
                <w:sz w:val="20"/>
                <w:szCs w:val="20"/>
                <w:color w:val="auto"/>
              </w:rPr>
            </w:pPr>
            <w:r>
              <w:rPr>
                <w:rFonts w:ascii="Times New Roman" w:cs="Times New Roman" w:eastAsia="Times New Roman" w:hAnsi="Times New Roman"/>
                <w:sz w:val="12"/>
                <w:szCs w:val="12"/>
                <w:color w:val="0000FF"/>
              </w:rPr>
              <w:t>36,507</w:t>
            </w:r>
          </w:p>
        </w:tc>
        <w:tc>
          <w:tcPr>
            <w:tcW w:w="2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jc w:val="right"/>
              <w:ind w:right="61"/>
              <w:spacing w:after="0" w:line="137" w:lineRule="exact"/>
              <w:rPr>
                <w:sz w:val="20"/>
                <w:szCs w:val="20"/>
                <w:color w:val="auto"/>
              </w:rPr>
            </w:pPr>
            <w:r>
              <w:rPr>
                <w:rFonts w:ascii="Times New Roman" w:cs="Times New Roman" w:eastAsia="Times New Roman" w:hAnsi="Times New Roman"/>
                <w:sz w:val="12"/>
                <w:szCs w:val="12"/>
                <w:color w:val="0000FF"/>
              </w:rPr>
              <w:t>02/10/2031</w:t>
            </w:r>
          </w:p>
        </w:tc>
        <w:tc>
          <w:tcPr>
            <w:tcW w:w="540" w:type="dxa"/>
            <w:vAlign w:val="bottom"/>
          </w:tcPr>
          <w:p>
            <w:pPr>
              <w:ind w:left="2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11"/>
                <w:szCs w:val="11"/>
                <w:color w:val="auto"/>
              </w:rPr>
            </w:pPr>
          </w:p>
        </w:tc>
        <w:tc>
          <w:tcPr>
            <w:tcW w:w="760" w:type="dxa"/>
            <w:vAlign w:val="bottom"/>
            <w:gridSpan w:val="2"/>
          </w:tcPr>
          <w:p>
            <w:pPr>
              <w:jc w:val="right"/>
              <w:ind w:right="283"/>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tcPr>
          <w:p>
            <w:pPr>
              <w:jc w:val="right"/>
              <w:ind w:right="163"/>
              <w:spacing w:after="0" w:line="137" w:lineRule="exact"/>
              <w:rPr>
                <w:sz w:val="20"/>
                <w:szCs w:val="20"/>
                <w:color w:val="auto"/>
              </w:rPr>
            </w:pPr>
            <w:r>
              <w:rPr>
                <w:rFonts w:ascii="Times New Roman" w:cs="Times New Roman" w:eastAsia="Times New Roman" w:hAnsi="Times New Roman"/>
                <w:sz w:val="12"/>
                <w:szCs w:val="12"/>
                <w:color w:val="0000FF"/>
              </w:rPr>
              <w:t>36,507</w:t>
            </w:r>
          </w:p>
        </w:tc>
        <w:tc>
          <w:tcPr>
            <w:tcW w:w="520" w:type="dxa"/>
            <w:vAlign w:val="bottom"/>
          </w:tcPr>
          <w:p>
            <w:pPr>
              <w:ind w:left="3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Based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jc w:val="center"/>
              <w:ind w:right="23"/>
              <w:spacing w:after="0" w:line="200" w:lineRule="exact"/>
              <w:rPr>
                <w:sz w:val="20"/>
                <w:szCs w:val="20"/>
                <w:color w:val="auto"/>
              </w:rPr>
            </w:pPr>
            <w:r>
              <w:rPr>
                <w:rFonts w:ascii="Times New Roman" w:cs="Times New Roman" w:eastAsia="Times New Roman" w:hAnsi="Times New Roman"/>
                <w:sz w:val="12"/>
                <w:szCs w:val="12"/>
                <w:color w:val="0000FF"/>
              </w:rPr>
              <w:t>17,551</w:t>
            </w:r>
            <w:r>
              <w:rPr>
                <w:rFonts w:ascii="Times New Roman" w:cs="Times New Roman" w:eastAsia="Times New Roman" w:hAnsi="Times New Roman"/>
                <w:sz w:val="20"/>
                <w:szCs w:val="20"/>
                <w:color w:val="008000"/>
                <w:vertAlign w:val="superscript"/>
              </w:rPr>
              <w:t>(4)</w:t>
            </w:r>
          </w:p>
        </w:tc>
        <w:tc>
          <w:tcPr>
            <w:tcW w:w="280" w:type="dxa"/>
            <w:vAlign w:val="bottom"/>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(5)</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6"/>
                <w:szCs w:val="16"/>
                <w:color w:val="0000FF"/>
              </w:rPr>
              <w:t>17,551</w:t>
            </w:r>
            <w:r>
              <w:rPr>
                <w:rFonts w:ascii="Times New Roman" w:cs="Times New Roman" w:eastAsia="Times New Roman" w:hAnsi="Times New Roman"/>
                <w:sz w:val="20"/>
                <w:szCs w:val="20"/>
                <w:color w:val="008000"/>
                <w:vertAlign w:val="superscript"/>
              </w:rPr>
              <w:t>(4)</w:t>
            </w: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vMerge w:val="restart"/>
          </w:tcPr>
          <w:p>
            <w:pPr>
              <w:jc w:val="center"/>
              <w:ind w:right="83"/>
              <w:spacing w:after="0" w:line="200" w:lineRule="exact"/>
              <w:rPr>
                <w:sz w:val="20"/>
                <w:szCs w:val="20"/>
                <w:color w:val="auto"/>
              </w:rPr>
            </w:pPr>
            <w:r>
              <w:rPr>
                <w:rFonts w:ascii="Times New Roman" w:cs="Times New Roman" w:eastAsia="Times New Roman" w:hAnsi="Times New Roman"/>
                <w:sz w:val="12"/>
                <w:szCs w:val="12"/>
                <w:color w:val="0000FF"/>
              </w:rPr>
              <w:t>17,551</w:t>
            </w:r>
            <w:r>
              <w:rPr>
                <w:rFonts w:ascii="Times New Roman" w:cs="Times New Roman" w:eastAsia="Times New Roman" w:hAnsi="Times New Roman"/>
                <w:sz w:val="20"/>
                <w:szCs w:val="20"/>
                <w:color w:val="008000"/>
                <w:vertAlign w:val="superscript"/>
              </w:rPr>
              <w:t>(4)</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300" w:type="dxa"/>
            <w:vAlign w:val="bottom"/>
          </w:tcPr>
          <w:p>
            <w:pPr>
              <w:spacing w:after="0"/>
              <w:rPr>
                <w:sz w:val="6"/>
                <w:szCs w:val="6"/>
                <w:color w:val="auto"/>
              </w:rPr>
            </w:pPr>
          </w:p>
        </w:tc>
        <w:tc>
          <w:tcPr>
            <w:tcW w:w="940" w:type="dxa"/>
            <w:vAlign w:val="bottom"/>
            <w:vMerge w:val="restart"/>
          </w:tcPr>
          <w:p>
            <w:pPr>
              <w:jc w:val="right"/>
              <w:ind w:right="118"/>
              <w:spacing w:after="0"/>
              <w:rPr>
                <w:sz w:val="20"/>
                <w:szCs w:val="20"/>
                <w:color w:val="auto"/>
              </w:rPr>
            </w:pPr>
            <w:r>
              <w:rPr>
                <w:rFonts w:ascii="Times New Roman" w:cs="Times New Roman" w:eastAsia="Times New Roman" w:hAnsi="Times New Roman"/>
                <w:sz w:val="12"/>
                <w:szCs w:val="12"/>
                <w:color w:val="0000FF"/>
              </w:rPr>
              <w:t>02/10/2021</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continue"/>
          </w:tcPr>
          <w:p>
            <w:pPr>
              <w:spacing w:after="0"/>
              <w:rPr>
                <w:sz w:val="6"/>
                <w:szCs w:val="6"/>
                <w:color w:val="auto"/>
              </w:rPr>
            </w:pPr>
          </w:p>
        </w:tc>
        <w:tc>
          <w:tcPr>
            <w:tcW w:w="760" w:type="dxa"/>
            <w:vAlign w:val="bottom"/>
            <w:gridSpan w:val="2"/>
            <w:vMerge w:val="restart"/>
          </w:tcPr>
          <w:p>
            <w:pPr>
              <w:jc w:val="right"/>
              <w:ind w:right="283"/>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continue"/>
          </w:tcPr>
          <w:p>
            <w:pPr>
              <w:spacing w:after="0"/>
              <w:rPr>
                <w:sz w:val="6"/>
                <w:szCs w:val="6"/>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Restricted</w:t>
            </w: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-3391535</wp:posOffset>
            </wp:positionV>
            <wp:extent cx="7035800" cy="3430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430905"/>
                    </a:xfrm>
                    <a:prstGeom prst="rect">
                      <a:avLst/>
                    </a:prstGeom>
                    <a:noFill/>
                  </pic:spPr>
                </pic:pic>
              </a:graphicData>
            </a:graphic>
          </wp:anchor>
        </w:drawing>
      </w:r>
    </w:p>
    <w:p>
      <w:pPr>
        <w:spacing w:after="0" w:line="6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34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issuable upon settlement of restricted stock units ("RSUs") granted to the Reporting Person. Each RSU represents a contingent right to receive one share of the Issuer's Class A Common Stock. Subject to the Reporting Person's continuous service as an employee of the Issuer, 6.25% of the RSUs will vest on April 1, 2021 and 6.25% of the RSUs will vest on the last day of each three-month period thereafter until January 1, 2025. Such vesting may be accelerated in connection with a Change of Control (as defined in the Issuer's Omnibus Incentive Compensation Plan (the "2017 Plan")).</w:t>
      </w:r>
    </w:p>
    <w:p>
      <w:pPr>
        <w:spacing w:after="0" w:line="13" w:lineRule="exact"/>
        <w:rPr>
          <w:rFonts w:ascii="Times New Roman" w:cs="Times New Roman" w:eastAsia="Times New Roman" w:hAnsi="Times New Roman"/>
          <w:sz w:val="12"/>
          <w:szCs w:val="12"/>
          <w:color w:val="008000"/>
        </w:rPr>
      </w:pPr>
    </w:p>
    <w:p>
      <w:pPr>
        <w:ind w:left="40" w:right="30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owned directly by The Langley Steinert Irrevocable Family Trust dated June 21, 2004, of which the Reporting Person's children are the beneficiaries. The Reporting Person may be deemed to have indirect ownership over such shares, but expressly disclaims beneficial ownership of such shares.</w:t>
      </w:r>
    </w:p>
    <w:p>
      <w:pPr>
        <w:ind w:left="40" w:right="2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service as an employee of the Issuer, 6.25% of the shares underlying the stock option will vest on April 1, 2021 and 6.25% of the shares underlying the stock option will vest on the last day of each three-month period thereafter until January 1, 2025. Such vesting may be accelerated in connection with a Change of Control (as defined in the 2017 Plan).</w:t>
      </w:r>
    </w:p>
    <w:p>
      <w:pPr>
        <w:ind w:left="40" w:right="20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performance-based RSU ("PSU") represents a contingent right to receive one share of the Issuer's Class A Common Stock, based on the Issuer's total shareholder return ("TSR") compared to pre-established relative TSR goals, based on the median TSR of the TSR of the companies that comprise the S&amp;P 500 Index as of the day before the applicable performance period, that were set by the Compensation Committee of the Issuer's Board of Directors. The aggregate number of shares issued may range from zero (0) shares to 125% of the target number of shares reported in columns 7 and 9 of this report.</w:t>
      </w:r>
    </w:p>
    <w:p>
      <w:pPr>
        <w:spacing w:after="0" w:line="13" w:lineRule="exact"/>
        <w:rPr>
          <w:rFonts w:ascii="Times New Roman" w:cs="Times New Roman" w:eastAsia="Times New Roman" w:hAnsi="Times New Roman"/>
          <w:sz w:val="12"/>
          <w:szCs w:val="12"/>
          <w:color w:val="008000"/>
        </w:rPr>
      </w:pPr>
    </w:p>
    <w:p>
      <w:pPr>
        <w:ind w:left="40" w:right="24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Between zero (0) and 125% of one-half of the PSUs will vest, if at all, on each of December 31, 2023 and December 31, 2024. Such vesting may be accelerated in connection with a Change of Control (as defined in the 2017 Plan) or if the Reporting Person's service is terminated by the Issuer without Cause or by the Reporting Person for Good Reason (each as defined in the Reporting Person's PSU grant agreement). Any vested PSUs will settle within 60 days of the date of vesting.</w:t>
      </w:r>
    </w:p>
    <w:p>
      <w:pPr>
        <w:spacing w:after="0" w:line="10"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Kathleen Patton, as attorney-</w:t>
            </w:r>
          </w:p>
        </w:tc>
        <w:tc>
          <w:tcPr>
            <w:tcW w:w="8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02/12/2021</w:t>
            </w:r>
          </w:p>
        </w:tc>
        <w:tc>
          <w:tcPr>
            <w:tcW w:w="0" w:type="dxa"/>
            <w:vAlign w:val="bottom"/>
          </w:tcPr>
          <w:p>
            <w:pPr>
              <w:spacing w:after="0"/>
              <w:rPr>
                <w:sz w:val="1"/>
                <w:szCs w:val="1"/>
                <w:color w:val="auto"/>
              </w:rPr>
            </w:pPr>
          </w:p>
        </w:tc>
      </w:tr>
      <w:tr>
        <w:trPr>
          <w:trHeight w:val="80"/>
        </w:trPr>
        <w:tc>
          <w:tcPr>
            <w:tcW w:w="214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in-fact</w:t>
            </w: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9138" TargetMode="External"/><Relationship Id="rId14" Type="http://schemas.openxmlformats.org/officeDocument/2006/relationships/hyperlink" Target="http://www.sec.gov/cgi-bin/browse-edgar?action=getcompany&amp;CIK=0001494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2021-02-12T16:14:31Z</dcterms:created>
  <dcterms:modified xsi:type="dcterms:W3CDTF">2021-02-12T16:14:31Z</dcterms:modified>
</cp:coreProperties>
</file>