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8"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-221615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5232400</wp:posOffset>
            </wp:positionH>
            <wp:positionV relativeFrom="paragraph">
              <wp:posOffset>-577215</wp:posOffset>
            </wp:positionV>
            <wp:extent cx="7620" cy="577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7785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-584835</wp:posOffset>
            </wp:positionV>
            <wp:extent cx="7620" cy="585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547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-561975</wp:posOffset>
            </wp:positionV>
            <wp:extent cx="1273175" cy="539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5391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-1702435</wp:posOffset>
            </wp:positionH>
            <wp:positionV relativeFrom="paragraph">
              <wp:posOffset>29845</wp:posOffset>
            </wp:positionV>
            <wp:extent cx="6974205" cy="1663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4205" cy="166370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6"/>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spacing w:after="0"/>
              <w:rPr>
                <w:rFonts w:ascii="Arial" w:cs="Arial" w:eastAsia="Arial" w:hAnsi="Arial"/>
                <w:sz w:val="20"/>
                <w:szCs w:val="20"/>
                <w:u w:val="single" w:color="auto"/>
                <w:color w:val="0000EE"/>
                <w:w w:val="88"/>
              </w:rPr>
            </w:pPr>
            <w:hyperlink r:id="rId13">
              <w:r>
                <w:rPr>
                  <w:rFonts w:ascii="Arial" w:cs="Arial" w:eastAsia="Arial" w:hAnsi="Arial"/>
                  <w:sz w:val="20"/>
                  <w:szCs w:val="20"/>
                  <w:u w:val="single" w:color="auto"/>
                  <w:color w:val="0000EE"/>
                  <w:w w:val="88"/>
                </w:rPr>
                <w:t>Trevisan Jason</w:t>
              </w:r>
            </w:hyperlink>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60" w:type="dxa"/>
            <w:vAlign w:val="bottom"/>
            <w:gridSpan w:val="5"/>
          </w:tcPr>
          <w:p>
            <w:pPr>
              <w:ind w:left="60"/>
              <w:spacing w:after="0" w:line="99"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CarGurus,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CARG</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8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5"/>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5"/>
                <w:szCs w:val="5"/>
                <w:color w:val="auto"/>
              </w:rPr>
            </w:pPr>
          </w:p>
        </w:tc>
        <w:tc>
          <w:tcPr>
            <w:tcW w:w="1440" w:type="dxa"/>
            <w:vAlign w:val="bottom"/>
            <w:gridSpan w:val="5"/>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52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(Middle)</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20" w:type="dxa"/>
            <w:vAlign w:val="bottom"/>
            <w:gridSpan w:val="6"/>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gridSpan w:val="6"/>
            <w:vMerge w:val="continue"/>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140" w:type="dxa"/>
            <w:vAlign w:val="bottom"/>
            <w:gridSpan w:val="4"/>
            <w:vMerge w:val="restart"/>
          </w:tcPr>
          <w:p>
            <w:pPr>
              <w:ind w:left="420"/>
              <w:spacing w:after="0"/>
              <w:rPr>
                <w:sz w:val="20"/>
                <w:szCs w:val="20"/>
                <w:color w:val="auto"/>
              </w:rPr>
            </w:pPr>
            <w:r>
              <w:rPr>
                <w:rFonts w:ascii="Arial" w:cs="Arial" w:eastAsia="Arial" w:hAnsi="Arial"/>
                <w:sz w:val="16"/>
                <w:szCs w:val="16"/>
                <w:color w:val="0000FF"/>
              </w:rPr>
              <w:t>Chief Executive Officer</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6"/>
                <w:szCs w:val="16"/>
                <w:color w:val="0000FF"/>
              </w:rPr>
              <w:t>2 CANAL PARK</w:t>
            </w: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14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gridSpan w:val="4"/>
            <w:vMerge w:val="restart"/>
          </w:tcPr>
          <w:p>
            <w:pPr>
              <w:ind w:left="260"/>
              <w:spacing w:after="0"/>
              <w:rPr>
                <w:sz w:val="20"/>
                <w:szCs w:val="20"/>
                <w:color w:val="auto"/>
              </w:rPr>
            </w:pPr>
            <w:r>
              <w:rPr>
                <w:rFonts w:ascii="Arial" w:cs="Arial" w:eastAsia="Arial" w:hAnsi="Arial"/>
                <w:sz w:val="16"/>
                <w:szCs w:val="16"/>
                <w:color w:val="0000FF"/>
              </w:rPr>
              <w:t>02/10/2021</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4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0000FF"/>
              </w:rPr>
              <w:t>4TH FLOOR</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spacing w:after="0"/>
              <w:rPr>
                <w:sz w:val="13"/>
                <w:szCs w:val="13"/>
                <w:color w:val="auto"/>
              </w:rPr>
            </w:pPr>
          </w:p>
        </w:tc>
        <w:tc>
          <w:tcPr>
            <w:tcW w:w="2000" w:type="dxa"/>
            <w:vAlign w:val="bottom"/>
            <w:gridSpan w:val="4"/>
          </w:tcPr>
          <w:p>
            <w:pPr>
              <w:spacing w:after="0"/>
              <w:rPr>
                <w:sz w:val="13"/>
                <w:szCs w:val="13"/>
                <w:color w:val="auto"/>
              </w:rPr>
            </w:pPr>
          </w:p>
        </w:tc>
        <w:tc>
          <w:tcPr>
            <w:tcW w:w="280" w:type="dxa"/>
            <w:vAlign w:val="bottom"/>
          </w:tcPr>
          <w:p>
            <w:pPr>
              <w:spacing w:after="0"/>
              <w:rPr>
                <w:sz w:val="13"/>
                <w:szCs w:val="13"/>
                <w:color w:val="auto"/>
              </w:rPr>
            </w:pPr>
          </w:p>
        </w:tc>
        <w:tc>
          <w:tcPr>
            <w:tcW w:w="340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2C2C2C"/>
            </w:tcBorders>
            <w:gridSpan w:val="4"/>
          </w:tcPr>
          <w:p>
            <w:pPr>
              <w:spacing w:after="0" w:line="20" w:lineRule="exact"/>
              <w:rPr>
                <w:sz w:val="1"/>
                <w:szCs w:val="1"/>
                <w:color w:val="auto"/>
              </w:rPr>
            </w:pPr>
          </w:p>
        </w:tc>
        <w:tc>
          <w:tcPr>
            <w:tcW w:w="2000" w:type="dxa"/>
            <w:vAlign w:val="bottom"/>
            <w:tcBorders>
              <w:bottom w:val="single" w:sz="8" w:color="2C2C2C"/>
            </w:tcBorders>
            <w:gridSpan w:val="4"/>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300" w:type="dxa"/>
            <w:vAlign w:val="bottom"/>
            <w:tcBorders>
              <w:bottom w:val="single" w:sz="8" w:color="2C2C2C"/>
            </w:tcBorders>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8"/>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16"/>
                <w:szCs w:val="16"/>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0000FF"/>
              </w:rPr>
              <w:t>CAMBRIDGE</w:t>
            </w:r>
          </w:p>
        </w:tc>
        <w:tc>
          <w:tcPr>
            <w:tcW w:w="280" w:type="dxa"/>
            <w:vAlign w:val="bottom"/>
          </w:tcPr>
          <w:p>
            <w:pPr>
              <w:spacing w:after="0"/>
              <w:rPr>
                <w:sz w:val="20"/>
                <w:szCs w:val="20"/>
                <w:color w:val="auto"/>
              </w:rPr>
            </w:pPr>
            <w:r>
              <w:rPr>
                <w:rFonts w:ascii="Arial" w:cs="Arial" w:eastAsia="Arial" w:hAnsi="Arial"/>
                <w:sz w:val="16"/>
                <w:szCs w:val="16"/>
                <w:color w:val="0000FF"/>
              </w:rPr>
              <w:t>MA</w:t>
            </w:r>
          </w:p>
        </w:tc>
        <w:tc>
          <w:tcPr>
            <w:tcW w:w="94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02141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60" w:type="dxa"/>
            <w:vAlign w:val="bottom"/>
            <w:gridSpan w:val="8"/>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2"/>
                <w:szCs w:val="12"/>
                <w:color w:val="auto"/>
              </w:rPr>
              <w:t>(City)</w:t>
            </w:r>
          </w:p>
        </w:tc>
        <w:tc>
          <w:tcPr>
            <w:tcW w:w="5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2"/>
                <w:szCs w:val="12"/>
                <w:color w:val="auto"/>
              </w:rPr>
              <w:t>(State)</w:t>
            </w: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6"/>
          </w:tcPr>
          <w:p>
            <w:pPr>
              <w:ind w:left="8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5"/>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gridSpan w:val="2"/>
          </w:tcPr>
          <w:p>
            <w:pPr>
              <w:ind w:left="840"/>
              <w:spacing w:after="0" w:line="120"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jc w:val="center"/>
              <w:ind w:right="9"/>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20" w:type="dxa"/>
            <w:vAlign w:val="bottom"/>
            <w:gridSpan w:val="5"/>
          </w:tcPr>
          <w:p>
            <w:pPr>
              <w:jc w:val="center"/>
              <w:ind w:left="696"/>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80" w:type="dxa"/>
            <w:vAlign w:val="bottom"/>
          </w:tcPr>
          <w:p>
            <w:pPr>
              <w:ind w:left="160"/>
              <w:spacing w:after="0" w:line="123"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0"/>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Borders>
              <w:bottom w:val="single" w:sz="8" w:color="2C2C2C"/>
            </w:tcBorders>
            <w:gridSpan w:val="5"/>
          </w:tcPr>
          <w:p>
            <w:pPr>
              <w:jc w:val="center"/>
              <w:ind w:left="716"/>
              <w:spacing w:after="0"/>
              <w:rPr>
                <w:sz w:val="20"/>
                <w:szCs w:val="20"/>
                <w:color w:val="auto"/>
              </w:rPr>
            </w:pPr>
            <w:r>
              <w:rPr>
                <w:rFonts w:ascii="Arial" w:cs="Arial" w:eastAsia="Arial" w:hAnsi="Arial"/>
                <w:sz w:val="16"/>
                <w:szCs w:val="16"/>
                <w:color w:val="0000FF"/>
                <w:w w:val="89"/>
              </w:rPr>
              <w:t>02/10/2021</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A</w:t>
            </w:r>
          </w:p>
        </w:tc>
        <w:tc>
          <w:tcPr>
            <w:tcW w:w="800" w:type="dxa"/>
            <w:vAlign w:val="bottom"/>
            <w:tcBorders>
              <w:bottom w:val="single" w:sz="8" w:color="2C2C2C"/>
            </w:tcBorders>
            <w:gridSpan w:val="2"/>
          </w:tcPr>
          <w:p>
            <w:pPr>
              <w:ind w:left="140"/>
              <w:spacing w:after="0"/>
              <w:rPr>
                <w:sz w:val="20"/>
                <w:szCs w:val="20"/>
                <w:color w:val="auto"/>
              </w:rPr>
            </w:pPr>
            <w:r>
              <w:rPr>
                <w:rFonts w:ascii="Arial" w:cs="Arial" w:eastAsia="Arial" w:hAnsi="Arial"/>
                <w:sz w:val="16"/>
                <w:szCs w:val="16"/>
                <w:color w:val="0000FF"/>
                <w:w w:val="86"/>
              </w:rPr>
              <w:t>252,737</w:t>
            </w:r>
            <w:r>
              <w:rPr>
                <w:rFonts w:ascii="Arial" w:cs="Arial" w:eastAsia="Arial" w:hAnsi="Arial"/>
                <w:sz w:val="20"/>
                <w:szCs w:val="20"/>
                <w:color w:val="008000"/>
                <w:w w:val="86"/>
                <w:vertAlign w:val="superscript"/>
              </w:rPr>
              <w:t>(1)</w:t>
            </w:r>
          </w:p>
        </w:tc>
        <w:tc>
          <w:tcPr>
            <w:tcW w:w="48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740" w:type="dxa"/>
            <w:vAlign w:val="bottom"/>
            <w:tcBorders>
              <w:bottom w:val="single" w:sz="8" w:color="2C2C2C"/>
            </w:tcBorders>
            <w:gridSpan w:val="2"/>
          </w:tcPr>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6"/>
                <w:szCs w:val="16"/>
                <w:color w:val="0000FF"/>
              </w:rPr>
              <w:t>600,535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94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5"/>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580" w:type="dxa"/>
            <w:vAlign w:val="bottom"/>
            <w:gridSpan w:val="14"/>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4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940" w:type="dxa"/>
            <w:vAlign w:val="bottom"/>
          </w:tcPr>
          <w:p>
            <w:pPr>
              <w:spacing w:after="0" w:line="123"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0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940" w:type="dxa"/>
            <w:vAlign w:val="bottom"/>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0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Acquired (A)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8"/>
              </w:rPr>
              <w:t>Disposed of</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Security</w:t>
            </w: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(D) (Instr. 3, 4</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vMerge w:val="restart"/>
          </w:tcPr>
          <w:p>
            <w:pPr>
              <w:jc w:val="right"/>
              <w:ind w:right="283"/>
              <w:spacing w:after="0"/>
              <w:rPr>
                <w:sz w:val="20"/>
                <w:szCs w:val="20"/>
                <w:color w:val="auto"/>
              </w:rPr>
            </w:pPr>
            <w:r>
              <w:rPr>
                <w:rFonts w:ascii="Arial" w:cs="Arial" w:eastAsia="Arial" w:hAnsi="Arial"/>
                <w:sz w:val="10"/>
                <w:szCs w:val="10"/>
                <w:color w:val="008000"/>
              </w:rPr>
              <w:t>(2)</w:t>
            </w:r>
          </w:p>
        </w:tc>
        <w:tc>
          <w:tcPr>
            <w:tcW w:w="66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color w:val="0000FF"/>
                <w:w w:val="96"/>
              </w:rPr>
              <w:t>Class A</w:t>
            </w:r>
          </w:p>
        </w:tc>
        <w:tc>
          <w:tcPr>
            <w:tcW w:w="740" w:type="dxa"/>
            <w:vAlign w:val="bottom"/>
            <w:gridSpan w:val="2"/>
            <w:vMerge w:val="restart"/>
          </w:tcPr>
          <w:p>
            <w:pPr>
              <w:jc w:val="right"/>
              <w:ind w:right="49"/>
              <w:spacing w:after="0"/>
              <w:rPr>
                <w:sz w:val="20"/>
                <w:szCs w:val="20"/>
                <w:color w:val="auto"/>
              </w:rPr>
            </w:pPr>
            <w:r>
              <w:rPr>
                <w:rFonts w:ascii="Arial" w:cs="Arial" w:eastAsia="Arial" w:hAnsi="Arial"/>
                <w:sz w:val="16"/>
                <w:szCs w:val="16"/>
                <w:color w:val="0000FF"/>
              </w:rPr>
              <w:t>262,850</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color w:val="0000FF"/>
              </w:rPr>
              <w:t>Stock Option</w:t>
            </w:r>
          </w:p>
        </w:tc>
        <w:tc>
          <w:tcPr>
            <w:tcW w:w="800" w:type="dxa"/>
            <w:vAlign w:val="bottom"/>
            <w:gridSpan w:val="2"/>
          </w:tcPr>
          <w:p>
            <w:pPr>
              <w:jc w:val="center"/>
              <w:ind w:right="172"/>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35.61</w:t>
            </w:r>
          </w:p>
        </w:tc>
        <w:tc>
          <w:tcPr>
            <w:tcW w:w="940" w:type="dxa"/>
            <w:vAlign w:val="bottom"/>
          </w:tcPr>
          <w:p>
            <w:pPr>
              <w:jc w:val="right"/>
              <w:ind w:right="139"/>
              <w:spacing w:after="0" w:line="136" w:lineRule="exact"/>
              <w:rPr>
                <w:sz w:val="20"/>
                <w:szCs w:val="20"/>
                <w:color w:val="auto"/>
              </w:rPr>
            </w:pPr>
            <w:r>
              <w:rPr>
                <w:rFonts w:ascii="Arial" w:cs="Arial" w:eastAsia="Arial" w:hAnsi="Arial"/>
                <w:sz w:val="12"/>
                <w:szCs w:val="12"/>
                <w:color w:val="0000FF"/>
              </w:rPr>
              <w:t>02/10/2021</w:t>
            </w: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400"/>
              <w:spacing w:after="0" w:line="136" w:lineRule="exact"/>
              <w:rPr>
                <w:sz w:val="20"/>
                <w:szCs w:val="20"/>
                <w:color w:val="auto"/>
              </w:rPr>
            </w:pPr>
            <w:r>
              <w:rPr>
                <w:rFonts w:ascii="Arial" w:cs="Arial" w:eastAsia="Arial" w:hAnsi="Arial"/>
                <w:sz w:val="12"/>
                <w:szCs w:val="12"/>
                <w:color w:val="0000FF"/>
                <w:w w:val="99"/>
              </w:rPr>
              <w:t>A</w:t>
            </w:r>
          </w:p>
        </w:tc>
        <w:tc>
          <w:tcPr>
            <w:tcW w:w="740" w:type="dxa"/>
            <w:vAlign w:val="bottom"/>
          </w:tcPr>
          <w:p>
            <w:pPr>
              <w:jc w:val="right"/>
              <w:ind w:right="124"/>
              <w:spacing w:after="0" w:line="136" w:lineRule="exact"/>
              <w:rPr>
                <w:sz w:val="20"/>
                <w:szCs w:val="20"/>
                <w:color w:val="auto"/>
              </w:rPr>
            </w:pPr>
            <w:r>
              <w:rPr>
                <w:rFonts w:ascii="Arial" w:cs="Arial" w:eastAsia="Arial" w:hAnsi="Arial"/>
                <w:sz w:val="12"/>
                <w:szCs w:val="12"/>
                <w:color w:val="0000FF"/>
              </w:rPr>
              <w:t>262,850</w:t>
            </w:r>
          </w:p>
        </w:tc>
        <w:tc>
          <w:tcPr>
            <w:tcW w:w="2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60" w:type="dxa"/>
            <w:vAlign w:val="bottom"/>
          </w:tcPr>
          <w:p>
            <w:pPr>
              <w:jc w:val="right"/>
              <w:ind w:right="1"/>
              <w:spacing w:after="0" w:line="136" w:lineRule="exact"/>
              <w:rPr>
                <w:sz w:val="20"/>
                <w:szCs w:val="20"/>
                <w:color w:val="auto"/>
              </w:rPr>
            </w:pPr>
            <w:r>
              <w:rPr>
                <w:rFonts w:ascii="Arial" w:cs="Arial" w:eastAsia="Arial" w:hAnsi="Arial"/>
                <w:sz w:val="12"/>
                <w:szCs w:val="12"/>
                <w:color w:val="0000FF"/>
                <w:w w:val="96"/>
              </w:rPr>
              <w:t>02/10/2031</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gridSpan w:val="2"/>
            <w:vMerge w:val="continue"/>
          </w:tcPr>
          <w:p>
            <w:pPr>
              <w:spacing w:after="0"/>
              <w:rPr>
                <w:sz w:val="11"/>
                <w:szCs w:val="11"/>
                <w:color w:val="auto"/>
              </w:rPr>
            </w:pPr>
          </w:p>
        </w:tc>
        <w:tc>
          <w:tcPr>
            <w:tcW w:w="660" w:type="dxa"/>
            <w:vAlign w:val="bottom"/>
          </w:tcPr>
          <w:p>
            <w:pPr>
              <w:ind w:left="26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165"/>
              <w:spacing w:after="0" w:line="136" w:lineRule="exact"/>
              <w:rPr>
                <w:sz w:val="20"/>
                <w:szCs w:val="20"/>
                <w:color w:val="auto"/>
              </w:rPr>
            </w:pPr>
            <w:r>
              <w:rPr>
                <w:rFonts w:ascii="Arial" w:cs="Arial" w:eastAsia="Arial" w:hAnsi="Arial"/>
                <w:sz w:val="12"/>
                <w:szCs w:val="12"/>
                <w:color w:val="0000FF"/>
              </w:rPr>
              <w:t>262,850</w:t>
            </w:r>
          </w:p>
        </w:tc>
        <w:tc>
          <w:tcPr>
            <w:tcW w:w="620" w:type="dxa"/>
            <w:vAlign w:val="bottom"/>
          </w:tcPr>
          <w:p>
            <w:pPr>
              <w:ind w:left="34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center"/>
              <w:ind w:right="97"/>
              <w:spacing w:after="0"/>
              <w:rPr>
                <w:sz w:val="20"/>
                <w:szCs w:val="20"/>
                <w:color w:val="auto"/>
              </w:rPr>
            </w:pPr>
            <w:r>
              <w:rPr>
                <w:rFonts w:ascii="Arial" w:cs="Arial" w:eastAsia="Arial" w:hAnsi="Arial"/>
                <w:sz w:val="12"/>
                <w:szCs w:val="12"/>
                <w:color w:val="0000FF"/>
                <w:w w:val="93"/>
              </w:rPr>
              <w:t>Stock</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0000FF"/>
                <w:w w:val="96"/>
              </w:rPr>
              <w:t>Performance-</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6"/>
              </w:rPr>
              <w:t>Class A</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Based</w:t>
            </w: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vMerge w:val="restart"/>
          </w:tcPr>
          <w:p>
            <w:pPr>
              <w:jc w:val="center"/>
              <w:ind w:right="44"/>
              <w:spacing w:after="0" w:line="197" w:lineRule="exact"/>
              <w:rPr>
                <w:sz w:val="20"/>
                <w:szCs w:val="20"/>
                <w:color w:val="auto"/>
              </w:rPr>
            </w:pPr>
            <w:r>
              <w:rPr>
                <w:rFonts w:ascii="Arial" w:cs="Arial" w:eastAsia="Arial" w:hAnsi="Arial"/>
                <w:sz w:val="12"/>
                <w:szCs w:val="12"/>
                <w:color w:val="0000FF"/>
              </w:rPr>
              <w:t>126,368</w:t>
            </w:r>
            <w:r>
              <w:rPr>
                <w:rFonts w:ascii="Arial" w:cs="Arial" w:eastAsia="Arial" w:hAnsi="Arial"/>
                <w:sz w:val="20"/>
                <w:szCs w:val="20"/>
                <w:color w:val="008000"/>
                <w:vertAlign w:val="superscript"/>
              </w:rPr>
              <w:t>(3)</w:t>
            </w:r>
          </w:p>
        </w:tc>
        <w:tc>
          <w:tcPr>
            <w:tcW w:w="260" w:type="dxa"/>
            <w:vAlign w:val="bottom"/>
          </w:tcPr>
          <w:p>
            <w:pPr>
              <w:spacing w:after="0"/>
              <w:rPr>
                <w:sz w:val="5"/>
                <w:szCs w:val="5"/>
                <w:color w:val="auto"/>
              </w:rPr>
            </w:pPr>
          </w:p>
        </w:tc>
        <w:tc>
          <w:tcPr>
            <w:tcW w:w="740" w:type="dxa"/>
            <w:vAlign w:val="bottom"/>
            <w:gridSpan w:val="2"/>
            <w:vMerge w:val="restart"/>
          </w:tcPr>
          <w:p>
            <w:pPr>
              <w:jc w:val="right"/>
              <w:ind w:right="283"/>
              <w:spacing w:after="0"/>
              <w:rPr>
                <w:sz w:val="20"/>
                <w:szCs w:val="20"/>
                <w:color w:val="auto"/>
              </w:rPr>
            </w:pPr>
            <w:r>
              <w:rPr>
                <w:rFonts w:ascii="Arial" w:cs="Arial" w:eastAsia="Arial" w:hAnsi="Arial"/>
                <w:sz w:val="10"/>
                <w:szCs w:val="10"/>
                <w:color w:val="008000"/>
              </w:rPr>
              <w:t>(4)</w:t>
            </w:r>
          </w:p>
        </w:tc>
        <w:tc>
          <w:tcPr>
            <w:tcW w:w="660" w:type="dxa"/>
            <w:vAlign w:val="bottom"/>
            <w:vMerge w:val="restart"/>
          </w:tcPr>
          <w:p>
            <w:pPr>
              <w:jc w:val="right"/>
              <w:ind w:right="221"/>
              <w:spacing w:after="0"/>
              <w:rPr>
                <w:sz w:val="20"/>
                <w:szCs w:val="20"/>
                <w:color w:val="auto"/>
              </w:rPr>
            </w:pPr>
            <w:r>
              <w:rPr>
                <w:rFonts w:ascii="Arial" w:cs="Arial" w:eastAsia="Arial" w:hAnsi="Arial"/>
                <w:sz w:val="10"/>
                <w:szCs w:val="10"/>
                <w:color w:val="008000"/>
              </w:rPr>
              <w:t>(4)</w:t>
            </w:r>
          </w:p>
        </w:tc>
        <w:tc>
          <w:tcPr>
            <w:tcW w:w="620" w:type="dxa"/>
            <w:vAlign w:val="bottom"/>
            <w:gridSpan w:val="2"/>
            <w:vMerge w:val="continue"/>
          </w:tcPr>
          <w:p>
            <w:pPr>
              <w:spacing w:after="0"/>
              <w:rPr>
                <w:sz w:val="5"/>
                <w:szCs w:val="5"/>
                <w:color w:val="auto"/>
              </w:rPr>
            </w:pPr>
          </w:p>
        </w:tc>
        <w:tc>
          <w:tcPr>
            <w:tcW w:w="740" w:type="dxa"/>
            <w:vAlign w:val="bottom"/>
            <w:gridSpan w:val="2"/>
            <w:vMerge w:val="restart"/>
          </w:tcPr>
          <w:p>
            <w:pPr>
              <w:jc w:val="center"/>
              <w:spacing w:after="0" w:line="197" w:lineRule="exact"/>
              <w:rPr>
                <w:sz w:val="20"/>
                <w:szCs w:val="20"/>
                <w:color w:val="auto"/>
              </w:rPr>
            </w:pPr>
            <w:r>
              <w:rPr>
                <w:rFonts w:ascii="Arial" w:cs="Arial" w:eastAsia="Arial" w:hAnsi="Arial"/>
                <w:sz w:val="16"/>
                <w:szCs w:val="16"/>
                <w:color w:val="0000FF"/>
                <w:w w:val="88"/>
              </w:rPr>
              <w:t>126,368</w:t>
            </w:r>
            <w:r>
              <w:rPr>
                <w:rFonts w:ascii="Arial" w:cs="Arial" w:eastAsia="Arial" w:hAnsi="Arial"/>
                <w:sz w:val="20"/>
                <w:szCs w:val="20"/>
                <w:color w:val="008000"/>
                <w:w w:val="88"/>
                <w:vertAlign w:val="superscript"/>
              </w:rPr>
              <w:t>(3)</w:t>
            </w:r>
          </w:p>
        </w:tc>
        <w:tc>
          <w:tcPr>
            <w:tcW w:w="660" w:type="dxa"/>
            <w:vAlign w:val="bottom"/>
          </w:tcPr>
          <w:p>
            <w:pPr>
              <w:spacing w:after="0"/>
              <w:rPr>
                <w:sz w:val="5"/>
                <w:szCs w:val="5"/>
                <w:color w:val="auto"/>
              </w:rPr>
            </w:pPr>
          </w:p>
        </w:tc>
        <w:tc>
          <w:tcPr>
            <w:tcW w:w="860" w:type="dxa"/>
            <w:vAlign w:val="bottom"/>
            <w:gridSpan w:val="2"/>
            <w:vMerge w:val="restart"/>
          </w:tcPr>
          <w:p>
            <w:pPr>
              <w:jc w:val="center"/>
              <w:ind w:right="85"/>
              <w:spacing w:after="0" w:line="197" w:lineRule="exact"/>
              <w:rPr>
                <w:sz w:val="20"/>
                <w:szCs w:val="20"/>
                <w:color w:val="auto"/>
              </w:rPr>
            </w:pPr>
            <w:r>
              <w:rPr>
                <w:rFonts w:ascii="Arial" w:cs="Arial" w:eastAsia="Arial" w:hAnsi="Arial"/>
                <w:sz w:val="12"/>
                <w:szCs w:val="12"/>
                <w:color w:val="0000FF"/>
              </w:rPr>
              <w:t>126,368</w:t>
            </w:r>
            <w:r>
              <w:rPr>
                <w:rFonts w:ascii="Arial" w:cs="Arial" w:eastAsia="Arial" w:hAnsi="Arial"/>
                <w:sz w:val="20"/>
                <w:szCs w:val="20"/>
                <w:color w:val="008000"/>
                <w:vertAlign w:val="superscript"/>
              </w:rPr>
              <w:t>(3)</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vMerge w:val="restart"/>
          </w:tcPr>
          <w:p>
            <w:pPr>
              <w:jc w:val="center"/>
              <w:ind w:right="5"/>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280" w:type="dxa"/>
            <w:vAlign w:val="bottom"/>
          </w:tcPr>
          <w:p>
            <w:pPr>
              <w:spacing w:after="0"/>
              <w:rPr>
                <w:sz w:val="6"/>
                <w:szCs w:val="6"/>
                <w:color w:val="auto"/>
              </w:rPr>
            </w:pPr>
          </w:p>
        </w:tc>
        <w:tc>
          <w:tcPr>
            <w:tcW w:w="940" w:type="dxa"/>
            <w:vAlign w:val="bottom"/>
            <w:vMerge w:val="restart"/>
          </w:tcPr>
          <w:p>
            <w:pPr>
              <w:jc w:val="right"/>
              <w:ind w:right="139"/>
              <w:spacing w:after="0" w:line="136" w:lineRule="exact"/>
              <w:rPr>
                <w:sz w:val="20"/>
                <w:szCs w:val="20"/>
                <w:color w:val="auto"/>
              </w:rPr>
            </w:pPr>
            <w:r>
              <w:rPr>
                <w:rFonts w:ascii="Arial" w:cs="Arial" w:eastAsia="Arial" w:hAnsi="Arial"/>
                <w:sz w:val="12"/>
                <w:szCs w:val="12"/>
                <w:color w:val="0000FF"/>
              </w:rPr>
              <w:t>02/10/2021</w:t>
            </w: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vMerge w:val="restart"/>
          </w:tcPr>
          <w:p>
            <w:pPr>
              <w:jc w:val="center"/>
              <w:ind w:right="400"/>
              <w:spacing w:after="0" w:line="136" w:lineRule="exact"/>
              <w:rPr>
                <w:sz w:val="20"/>
                <w:szCs w:val="20"/>
                <w:color w:val="auto"/>
              </w:rPr>
            </w:pPr>
            <w:r>
              <w:rPr>
                <w:rFonts w:ascii="Arial" w:cs="Arial" w:eastAsia="Arial" w:hAnsi="Arial"/>
                <w:sz w:val="12"/>
                <w:szCs w:val="12"/>
                <w:color w:val="0000FF"/>
                <w:w w:val="99"/>
              </w:rPr>
              <w:t>A</w:t>
            </w:r>
          </w:p>
        </w:tc>
        <w:tc>
          <w:tcPr>
            <w:tcW w:w="7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gridSpan w:val="2"/>
            <w:vMerge w:val="continue"/>
          </w:tcPr>
          <w:p>
            <w:pPr>
              <w:spacing w:after="0"/>
              <w:rPr>
                <w:sz w:val="6"/>
                <w:szCs w:val="6"/>
                <w:color w:val="auto"/>
              </w:rPr>
            </w:pPr>
          </w:p>
        </w:tc>
        <w:tc>
          <w:tcPr>
            <w:tcW w:w="660" w:type="dxa"/>
            <w:vAlign w:val="bottom"/>
            <w:vMerge w:val="restart"/>
          </w:tcPr>
          <w:p>
            <w:pPr>
              <w:ind w:left="26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6"/>
                <w:szCs w:val="6"/>
                <w:color w:val="auto"/>
              </w:rPr>
            </w:pPr>
          </w:p>
        </w:tc>
        <w:tc>
          <w:tcPr>
            <w:tcW w:w="620" w:type="dxa"/>
            <w:vAlign w:val="bottom"/>
            <w:vMerge w:val="restart"/>
          </w:tcPr>
          <w:p>
            <w:pPr>
              <w:ind w:left="34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Restricted</w:t>
            </w: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vMerge w:val="restart"/>
          </w:tcPr>
          <w:p>
            <w:pPr>
              <w:jc w:val="center"/>
              <w:ind w:right="97"/>
              <w:spacing w:after="0"/>
              <w:rPr>
                <w:sz w:val="20"/>
                <w:szCs w:val="20"/>
                <w:color w:val="auto"/>
              </w:rPr>
            </w:pPr>
            <w:r>
              <w:rPr>
                <w:rFonts w:ascii="Arial" w:cs="Arial" w:eastAsia="Arial" w:hAnsi="Arial"/>
                <w:sz w:val="12"/>
                <w:szCs w:val="12"/>
                <w:color w:val="0000FF"/>
                <w:w w:val="93"/>
              </w:rPr>
              <w:t>Stock</w:t>
            </w: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Units</w:t>
            </w: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-3021330</wp:posOffset>
            </wp:positionV>
            <wp:extent cx="7037070" cy="3061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7070" cy="3061335"/>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40" w:right="160" w:hanging="5"/>
        <w:spacing w:after="0" w:line="284" w:lineRule="auto"/>
        <w:tabs>
          <w:tab w:leader="none" w:pos="16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shares issuable upon settlement of restricted stock units ("RSUs") granted to the Reporting Person. Each RSU represents a contingent right to receive one share of the Issuer's Class A Common Stock. Subject to the Reporting Person's continuous service as an employee of the Issuer, 6.25% of the RSUs will vest on April 1, 2021 and 6.25% of the RSUs will vest on the last day of each three-month period thereafter until January 1, 2025. Such vesting may be accelerated in connection with a Change of Control (as defined in the Issuer's Omnibus Incentive Compensation Plan (the "2017 Plan")).</w:t>
      </w:r>
    </w:p>
    <w:p>
      <w:pPr>
        <w:spacing w:after="0" w:line="6" w:lineRule="exact"/>
        <w:rPr>
          <w:rFonts w:ascii="Arial" w:cs="Arial" w:eastAsia="Arial" w:hAnsi="Arial"/>
          <w:sz w:val="11"/>
          <w:szCs w:val="11"/>
          <w:color w:val="008000"/>
        </w:rPr>
      </w:pPr>
    </w:p>
    <w:p>
      <w:pPr>
        <w:ind w:left="40" w:right="160" w:hanging="5"/>
        <w:spacing w:after="0" w:line="265"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Subject to the Reporting Person's continuous service as an employee of the Issuer, 6.25% of the shares underlying the stock option will vest on April 1, 2021 and 6.25% of the shares underlying the stock option will vest on the last day of each three-month period thereafter until January 1, 2025. Such vesting may be accelerated in connection with a Change of Control (as defined in the 2017 Plan).</w:t>
      </w:r>
    </w:p>
    <w:p>
      <w:pPr>
        <w:spacing w:after="0" w:line="15" w:lineRule="exact"/>
        <w:rPr>
          <w:rFonts w:ascii="Arial" w:cs="Arial" w:eastAsia="Arial" w:hAnsi="Arial"/>
          <w:sz w:val="12"/>
          <w:szCs w:val="12"/>
          <w:color w:val="008000"/>
        </w:rPr>
      </w:pPr>
    </w:p>
    <w:p>
      <w:pPr>
        <w:ind w:left="40" w:right="320" w:hanging="5"/>
        <w:spacing w:after="0" w:line="284" w:lineRule="auto"/>
        <w:tabs>
          <w:tab w:leader="none" w:pos="16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performance-based RSU ("PSU") represents a contingent right to receive one share of the Issuer's Class A Common Stock, based on the Issuer's total shareholder return ("TSR") compared to pre-established relative TSR goals, based on the median TSR of the TSR of the companies that comprise the S&amp;P 500 Index as of the day before the applicable performance period, that were set by the Compensation Committee of the Issuer's Board of Directors. The aggregate number of shares issued may range from zero (0) shares to 125% of the target number of shares reported in columns 7 and 9 of this report.</w:t>
      </w:r>
    </w:p>
    <w:p>
      <w:pPr>
        <w:spacing w:after="0" w:line="6" w:lineRule="exact"/>
        <w:rPr>
          <w:rFonts w:ascii="Arial" w:cs="Arial" w:eastAsia="Arial" w:hAnsi="Arial"/>
          <w:sz w:val="11"/>
          <w:szCs w:val="11"/>
          <w:color w:val="008000"/>
        </w:rPr>
      </w:pPr>
    </w:p>
    <w:p>
      <w:pPr>
        <w:ind w:left="40" w:right="200" w:hanging="5"/>
        <w:spacing w:after="0" w:line="250"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Between zero (0) and 125% of one-half of the PSUs will vest, if at all, on each of December 31, 2023 and December 31, 2024. Such vesting may be accelerated in connection with a Change of Control (as defined in the 2017 Plan) or if the Reporting Person's service is terminated by the Issuer without Cause or by the Reporting Person for Good Reason (each as defined in the Reporting Person's PSU grant agreement). Any vested PSUs will settle within 60 days of the date of vesting.</w:t>
      </w:r>
    </w:p>
    <w:p>
      <w:pPr>
        <w:spacing w:after="0" w:line="13" w:lineRule="exact"/>
        <w:rPr>
          <w:sz w:val="20"/>
          <w:szCs w:val="20"/>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88"/>
              </w:rPr>
              <w:t>/s/ Kathleen Patton, as attorney-</w:t>
            </w:r>
          </w:p>
        </w:tc>
        <w:tc>
          <w:tcPr>
            <w:tcW w:w="160" w:type="dxa"/>
            <w:vAlign w:val="bottom"/>
          </w:tcPr>
          <w:p>
            <w:pPr>
              <w:spacing w:after="0"/>
              <w:rPr>
                <w:sz w:val="17"/>
                <w:szCs w:val="17"/>
                <w:color w:val="auto"/>
              </w:rPr>
            </w:pPr>
          </w:p>
        </w:tc>
        <w:tc>
          <w:tcPr>
            <w:tcW w:w="720" w:type="dxa"/>
            <w:vAlign w:val="bottom"/>
            <w:vMerge w:val="restart"/>
          </w:tcPr>
          <w:p>
            <w:pPr>
              <w:spacing w:after="0"/>
              <w:rPr>
                <w:sz w:val="20"/>
                <w:szCs w:val="20"/>
                <w:color w:val="auto"/>
              </w:rPr>
            </w:pPr>
            <w:r>
              <w:rPr>
                <w:rFonts w:ascii="Arial" w:cs="Arial" w:eastAsia="Arial" w:hAnsi="Arial"/>
                <w:sz w:val="16"/>
                <w:szCs w:val="16"/>
                <w:color w:val="0000FF"/>
                <w:w w:val="87"/>
              </w:rPr>
              <w:t>02/12/2021</w:t>
            </w:r>
          </w:p>
        </w:tc>
        <w:tc>
          <w:tcPr>
            <w:tcW w:w="0" w:type="dxa"/>
            <w:vAlign w:val="bottom"/>
          </w:tcPr>
          <w:p>
            <w:pPr>
              <w:spacing w:after="0"/>
              <w:rPr>
                <w:sz w:val="1"/>
                <w:szCs w:val="1"/>
                <w:color w:val="auto"/>
              </w:rPr>
            </w:pPr>
          </w:p>
        </w:tc>
      </w:tr>
      <w:tr>
        <w:trPr>
          <w:trHeight w:val="83"/>
        </w:trPr>
        <w:tc>
          <w:tcPr>
            <w:tcW w:w="2200" w:type="dxa"/>
            <w:vAlign w:val="bottom"/>
            <w:gridSpan w:val="3"/>
            <w:vMerge w:val="restart"/>
          </w:tcPr>
          <w:p>
            <w:pPr>
              <w:spacing w:after="0" w:line="177" w:lineRule="exact"/>
              <w:rPr>
                <w:sz w:val="20"/>
                <w:szCs w:val="20"/>
                <w:color w:val="auto"/>
              </w:rPr>
            </w:pPr>
            <w:r>
              <w:rPr>
                <w:rFonts w:ascii="Arial" w:cs="Arial" w:eastAsia="Arial" w:hAnsi="Arial"/>
                <w:sz w:val="16"/>
                <w:szCs w:val="16"/>
                <w:color w:val="0000FF"/>
              </w:rPr>
              <w:t>in-fact</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40" w:right="3940" w:hanging="5"/>
        <w:spacing w:after="0" w:line="319"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8636" TargetMode="External"/><Relationship Id="rId14" Type="http://schemas.openxmlformats.org/officeDocument/2006/relationships/hyperlink" Target="http://www.sec.gov/cgi-bin/browse-edgar?action=getcompany&amp;CIK=00014942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2021-02-12T16:17:27Z</dcterms:created>
  <dcterms:modified xsi:type="dcterms:W3CDTF">2021-02-12T16:17:27Z</dcterms:modified>
</cp:coreProperties>
</file>