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7.jpeg" ContentType="image/jpeg"/>
  <Override PartName="/word/media/image22.jpeg" ContentType="image/jpeg"/>
  <Override PartName="/word/media/image21.jpeg" ContentType="image/jpeg"/>
  <Override PartName="/word/media/image6.gif" ContentType="image/gif"/>
  <Override PartName="/word/media/image20.jpeg" ContentType="image/jpeg"/>
  <Override PartName="/word/media/image8.jpeg" ContentType="image/jpeg"/>
  <Override PartName="/word/media/image24.jpeg" ContentType="image/jpeg"/>
  <Override PartName="/word/media/image3.jpeg" ContentType="image/jpeg"/>
  <Override PartName="/word/media/image30.jpeg" ContentType="image/jpeg"/>
  <Override PartName="/word/media/image26.jpeg" ContentType="image/jpeg"/>
  <Override PartName="/word/media/image29.jpeg" ContentType="image/jpeg"/>
  <Override PartName="/word/media/image7.gif" ContentType="image/gif"/>
  <Override PartName="/word/media/image32.jpeg" ContentType="image/jpeg"/>
  <Override PartName="/word/media/image9.gif" ContentType="image/gif"/>
  <Override PartName="/word/media/image5.gif" ContentType="image/gif"/>
  <Override PartName="/word/media/image10.gif" ContentType="image/gif"/>
  <Override PartName="/word/media/image33.jpeg" ContentType="image/jpeg"/>
  <Override PartName="/word/media/image34.jpeg" ContentType="image/jpeg"/>
  <Override PartName="/word/media/image15.gif" ContentType="image/gif"/>
  <Override PartName="/word/media/image28.jpeg" ContentType="image/jpeg"/>
  <Override PartName="/word/media/image13.gif" ContentType="image/gif"/>
  <Override PartName="/word/media/image4.jpeg" ContentType="image/jpeg"/>
  <Override PartName="/word/media/image25.jpeg" ContentType="image/jpeg"/>
  <Override PartName="/word/media/image2.jpeg" ContentType="image/jpeg"/>
  <Override PartName="/word/media/image23.jpeg" ContentType="image/jpeg"/>
  <Override PartName="/word/media/image31.gif" ContentType="image/gif"/>
  <Override PartName="/word/media/image11.jpeg" ContentType="image/jpeg"/>
  <Override PartName="/word/media/image1.gif" ContentType="image/gif"/>
  <Override PartName="/word/media/image14.gif" ContentType="image/gif"/>
  <Override PartName="/word/media/image16.gif" ContentType="image/gif"/>
  <Override PartName="/word/media/image12.gif" ContentType="image/gif"/>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arg-20260422.htm"/>
        <w:bookmarkStart w:id="1" w:name="kscarg20260422"/>
        <w:bookmarkEnd w:id="0"/>
        <w:bookmarkEnd w:id="1"/>
        <w:r>
          <w:rPr>
            <w:rStyle w:val="InternetLink"/>
            <w:rFonts w:ascii="Outfit;sans-serif" w:hAnsi="Outfit;sans-serif"/>
            <w:b/>
            <w:color w:val="0000FF"/>
            <w:sz w:val="22"/>
            <w:u w:val="single"/>
          </w:rPr>
          <w:t>Table of Contents</w:t>
        </w:r>
      </w:hyperlink>
    </w:p>
    <w:p>
      <w:pPr>
        <w:pStyle w:val="TextBody"/>
        <w:bidi w:val="0"/>
        <w:jc w:val="right"/>
        <w:rPr/>
      </w:pPr>
      <w:r>
        <w:rPr/>
        <w:t> </w:t>
      </w:r>
    </w:p>
    <w:p>
      <w:pPr>
        <w:pStyle w:val="TextBody"/>
        <w:pBdr>
          <w:top w:val="single" w:sz="6" w:space="1" w:color="000000"/>
        </w:pBdr>
        <w:bidi w:val="0"/>
        <w:spacing w:before="20" w:after="283"/>
        <w:jc w:val="center"/>
        <w:rPr/>
      </w:pPr>
      <w:r>
        <w:rPr/>
        <w:t> </w:t>
      </w:r>
    </w:p>
    <w:p>
      <w:pPr>
        <w:pStyle w:val="TextBody"/>
        <w:bidi w:val="0"/>
        <w:spacing w:before="40" w:after="283"/>
        <w:jc w:val="center"/>
        <w:rPr>
          <w:rFonts w:ascii="Outfit;sans-serif" w:hAnsi="Outfit;sans-serif"/>
          <w:b/>
          <w:color w:val="000000"/>
          <w:sz w:val="34"/>
        </w:rPr>
      </w:pPr>
      <w:r>
        <w:rPr>
          <w:rFonts w:ascii="Outfit;sans-serif" w:hAnsi="Outfit;sans-serif"/>
          <w:b/>
          <w:color w:val="000000"/>
          <w:sz w:val="34"/>
        </w:rPr>
        <w:t>UNITED STATES</w:t>
      </w:r>
    </w:p>
    <w:p>
      <w:pPr>
        <w:pStyle w:val="TextBody"/>
        <w:bidi w:val="0"/>
        <w:jc w:val="center"/>
        <w:rPr>
          <w:rFonts w:ascii="Outfit;sans-serif" w:hAnsi="Outfit;sans-serif"/>
          <w:b/>
          <w:color w:val="000000"/>
          <w:sz w:val="34"/>
        </w:rPr>
      </w:pPr>
      <w:r>
        <w:rPr>
          <w:rFonts w:ascii="Outfit;sans-serif" w:hAnsi="Outfit;sans-serif"/>
          <w:b/>
          <w:color w:val="000000"/>
          <w:sz w:val="34"/>
        </w:rPr>
        <w:t>SECURITIES AND EXCHANGE COMMISSION</w:t>
      </w:r>
    </w:p>
    <w:p>
      <w:pPr>
        <w:pStyle w:val="TextBody"/>
        <w:bidi w:val="0"/>
        <w:jc w:val="center"/>
        <w:rPr>
          <w:rFonts w:ascii="Outfit;sans-serif" w:hAnsi="Outfit;sans-serif"/>
          <w:b/>
          <w:color w:val="000000"/>
          <w:sz w:val="22"/>
        </w:rPr>
      </w:pPr>
      <w:r>
        <w:rPr>
          <w:rFonts w:ascii="Outfit;sans-serif" w:hAnsi="Outfit;sans-serif"/>
          <w:b/>
          <w:color w:val="000000"/>
          <w:sz w:val="22"/>
        </w:rPr>
        <w:t>Washington, D.C. 20549</w:t>
      </w:r>
    </w:p>
    <w:p>
      <w:pPr>
        <w:pStyle w:val="TextBody"/>
        <w:bidi w:val="0"/>
        <w:spacing w:before="40" w:after="283"/>
        <w:jc w:val="center"/>
        <w:rPr>
          <w:rFonts w:ascii="Outfit;sans-serif" w:hAnsi="Outfit;sans-serif"/>
          <w:b/>
          <w:color w:val="000000"/>
          <w:sz w:val="34"/>
        </w:rPr>
      </w:pPr>
      <w:r>
        <w:rPr>
          <w:rFonts w:ascii="Outfit;sans-serif" w:hAnsi="Outfit;sans-serif"/>
          <w:b/>
          <w:color w:val="000000"/>
          <w:sz w:val="34"/>
        </w:rPr>
        <w:t>SCHEDULE 14A</w:t>
      </w:r>
    </w:p>
    <w:p>
      <w:pPr>
        <w:pStyle w:val="TextBody"/>
        <w:bidi w:val="0"/>
        <w:spacing w:before="40" w:after="283"/>
        <w:jc w:val="center"/>
        <w:rPr>
          <w:rFonts w:ascii="Times New Roman" w:hAnsi="Times New Roman"/>
          <w:sz w:val="20"/>
        </w:rPr>
      </w:pPr>
      <w:r>
        <w:rPr>
          <w:rFonts w:ascii="Outfit;sans-serif" w:hAnsi="Outfit;sans-serif"/>
          <w:b/>
          <w:color w:val="000000"/>
          <w:sz w:val="22"/>
        </w:rPr>
        <w:t>(RULE 14a-101)</w:t>
      </w:r>
      <w:r>
        <w:rPr>
          <w:rFonts w:ascii="Times New Roman" w:hAnsi="Times New Roman"/>
          <w:color w:val="000000"/>
          <w:sz w:val="20"/>
        </w:rPr>
        <w:t xml:space="preserve"> </w:t>
      </w:r>
    </w:p>
    <w:p>
      <w:pPr>
        <w:pStyle w:val="TextBody"/>
        <w:bidi w:val="0"/>
        <w:jc w:val="center"/>
        <w:rPr>
          <w:rFonts w:ascii="Outfit;sans-serif" w:hAnsi="Outfit;sans-serif"/>
          <w:b/>
          <w:color w:val="000000"/>
          <w:sz w:val="22"/>
        </w:rPr>
      </w:pPr>
      <w:r>
        <w:rPr>
          <w:rFonts w:ascii="Outfit;sans-serif" w:hAnsi="Outfit;sans-serif"/>
          <w:b/>
          <w:color w:val="000000"/>
          <w:sz w:val="22"/>
        </w:rPr>
        <w:t>INFORMATION REQUIRED IN PROXY STATEMENT</w:t>
      </w:r>
    </w:p>
    <w:p>
      <w:pPr>
        <w:pStyle w:val="TextBody"/>
        <w:bidi w:val="0"/>
        <w:jc w:val="center"/>
        <w:rPr>
          <w:rFonts w:ascii="Outfit;sans-serif" w:hAnsi="Outfit;sans-serif"/>
          <w:b/>
          <w:color w:val="000000"/>
          <w:sz w:val="22"/>
        </w:rPr>
      </w:pPr>
      <w:r>
        <w:rPr>
          <w:rFonts w:ascii="Outfit;sans-serif" w:hAnsi="Outfit;sans-serif"/>
          <w:b/>
          <w:color w:val="000000"/>
          <w:sz w:val="22"/>
        </w:rPr>
        <w:t>SCHEDULE 14A INFORMATION</w:t>
      </w:r>
    </w:p>
    <w:p>
      <w:pPr>
        <w:pStyle w:val="TextBody"/>
        <w:bidi w:val="0"/>
        <w:jc w:val="center"/>
        <w:rPr>
          <w:rFonts w:ascii="Outfit;sans-serif" w:hAnsi="Outfit;sans-serif"/>
          <w:b/>
          <w:color w:val="000000"/>
          <w:sz w:val="22"/>
        </w:rPr>
      </w:pPr>
      <w:r>
        <w:rPr>
          <w:rFonts w:ascii="Outfit;sans-serif" w:hAnsi="Outfit;sans-serif"/>
          <w:b/>
          <w:color w:val="000000"/>
          <w:sz w:val="22"/>
        </w:rPr>
        <w:t>Proxy Statement Pursuant to Section 14(a) of the</w:t>
      </w:r>
    </w:p>
    <w:p>
      <w:pPr>
        <w:pStyle w:val="TextBody"/>
        <w:bidi w:val="0"/>
        <w:jc w:val="center"/>
        <w:rPr>
          <w:rFonts w:ascii="Outfit;sans-serif" w:hAnsi="Outfit;sans-serif"/>
          <w:b/>
          <w:color w:val="000000"/>
          <w:sz w:val="22"/>
        </w:rPr>
      </w:pPr>
      <w:r>
        <w:rPr>
          <w:rFonts w:ascii="Outfit;sans-serif" w:hAnsi="Outfit;sans-serif"/>
          <w:b/>
          <w:color w:val="000000"/>
          <w:sz w:val="22"/>
        </w:rPr>
        <w:t>Securities Exchange Act of 1934</w:t>
      </w:r>
    </w:p>
    <w:p>
      <w:pPr>
        <w:pStyle w:val="TextBody"/>
        <w:bidi w:val="0"/>
        <w:spacing w:before="40" w:after="283"/>
        <w:jc w:val="left"/>
        <w:rPr>
          <w:rFonts w:ascii="Times New Roman" w:hAnsi="Times New Roman"/>
          <w:sz w:val="20"/>
        </w:rPr>
      </w:pPr>
      <w:r>
        <w:rPr>
          <w:rFonts w:ascii="Outfit;sans-serif" w:hAnsi="Outfit;sans-serif"/>
          <w:color w:val="000000"/>
          <w:sz w:val="18"/>
        </w:rPr>
        <w:t xml:space="preserve">Filed by the Registrant </w:t>
      </w:r>
      <w:r>
        <w:rPr>
          <w:rFonts w:ascii="Times New Roman" w:hAnsi="Times New Roman"/>
          <w:color w:val="000000"/>
          <w:sz w:val="20"/>
        </w:rPr>
        <w:t xml:space="preserve">☒ </w:t>
      </w:r>
      <w:r>
        <w:rPr>
          <w:rFonts w:ascii="Outfit;sans-serif" w:hAnsi="Outfit;sans-serif"/>
          <w:color w:val="000000"/>
          <w:sz w:val="18"/>
        </w:rPr>
        <w:t xml:space="preserve">Filed by a Party other than the Registrant </w:t>
      </w:r>
      <w:r>
        <w:rPr>
          <w:rFonts w:ascii="Times New Roman" w:hAnsi="Times New Roman"/>
          <w:color w:val="000000"/>
          <w:sz w:val="20"/>
        </w:rPr>
        <w:t>☐</w:t>
      </w:r>
    </w:p>
    <w:p>
      <w:pPr>
        <w:pStyle w:val="TextBody"/>
        <w:bidi w:val="0"/>
        <w:spacing w:before="40" w:after="283"/>
        <w:jc w:val="left"/>
        <w:rPr>
          <w:rFonts w:ascii="Outfit;sans-serif" w:hAnsi="Outfit;sans-serif"/>
          <w:color w:val="000000"/>
          <w:sz w:val="18"/>
        </w:rPr>
      </w:pPr>
      <w:r>
        <w:rPr>
          <w:rFonts w:ascii="Outfit;sans-serif" w:hAnsi="Outfit;sans-serif"/>
          <w:color w:val="000000"/>
          <w:sz w:val="18"/>
        </w:rPr>
        <w:t>Check the appropriate box:</w:t>
      </w:r>
    </w:p>
    <w:tbl>
      <w:tblPr>
        <w:tblW w:w="8567" w:type="dxa"/>
        <w:jc w:val="left"/>
        <w:tblInd w:w="0" w:type="dxa"/>
        <w:tblLayout w:type="fixed"/>
        <w:tblCellMar>
          <w:top w:w="28" w:type="dxa"/>
          <w:left w:w="28" w:type="dxa"/>
          <w:bottom w:w="28" w:type="dxa"/>
          <w:right w:w="28" w:type="dxa"/>
        </w:tblCellMar>
      </w:tblPr>
      <w:tblGrid>
        <w:gridCol w:w="331"/>
        <w:gridCol w:w="8236"/>
      </w:tblGrid>
      <w:tr>
        <w:trPr/>
        <w:tc>
          <w:tcPr>
            <w:tcW w:w="331"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Soliciting Material under § 240.14a-12</w:t>
            </w:r>
          </w:p>
        </w:tc>
      </w:tr>
    </w:tbl>
    <w:p>
      <w:pPr>
        <w:pStyle w:val="TextBody"/>
        <w:bidi w:val="0"/>
        <w:spacing w:before="140" w:after="283"/>
        <w:jc w:val="center"/>
        <w:rPr/>
      </w:pPr>
      <w:r>
        <w:rPr/>
        <w:drawing>
          <wp:inline distT="0" distB="0" distL="0" distR="0">
            <wp:extent cx="18288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295275"/>
                    </a:xfrm>
                    <a:prstGeom prst="rect">
                      <a:avLst/>
                    </a:prstGeom>
                  </pic:spPr>
                </pic:pic>
              </a:graphicData>
            </a:graphic>
          </wp:inline>
        </w:drawing>
      </w:r>
    </w:p>
    <w:p>
      <w:pPr>
        <w:pStyle w:val="TextBody"/>
        <w:bidi w:val="0"/>
        <w:spacing w:before="140" w:after="283"/>
        <w:jc w:val="center"/>
        <w:rPr>
          <w:rFonts w:ascii="Outfit;sans-serif" w:hAnsi="Outfit;sans-serif"/>
          <w:b/>
          <w:color w:val="000000"/>
          <w:sz w:val="42"/>
        </w:rPr>
      </w:pPr>
      <w:r>
        <w:rPr>
          <w:rFonts w:ascii="Outfit;sans-serif" w:hAnsi="Outfit;sans-serif"/>
          <w:b/>
          <w:color w:val="000000"/>
          <w:sz w:val="42"/>
        </w:rPr>
        <w:t>CARGURUS, INC.</w:t>
      </w:r>
    </w:p>
    <w:p>
      <w:pPr>
        <w:pStyle w:val="TextBody"/>
        <w:bidi w:val="0"/>
        <w:jc w:val="center"/>
        <w:rPr>
          <w:rFonts w:ascii="Times New Roman" w:hAnsi="Times New Roman"/>
          <w:sz w:val="20"/>
        </w:rPr>
      </w:pPr>
      <w:r>
        <w:rPr>
          <w:rFonts w:ascii="Outfit;sans-serif" w:hAnsi="Outfit;sans-serif"/>
          <w:b/>
          <w:color w:val="000000"/>
          <w:sz w:val="18"/>
        </w:rPr>
        <w:t>(Name of Registrant as Specified In Its Charter)</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Outfit;sans-serif" w:hAnsi="Outfit;sans-serif"/>
          <w:b/>
          <w:color w:val="000000"/>
          <w:sz w:val="16"/>
        </w:rPr>
      </w:pPr>
      <w:r>
        <w:rPr>
          <w:rFonts w:ascii="Outfit;sans-serif" w:hAnsi="Outfit;sans-serif"/>
          <w:b/>
          <w:color w:val="000000"/>
          <w:sz w:val="16"/>
        </w:rPr>
        <w:t>(Name of Person(s) Filing Proxy Statement, if other than the Registrant)</w:t>
      </w:r>
    </w:p>
    <w:p>
      <w:pPr>
        <w:pStyle w:val="TextBody"/>
        <w:bidi w:val="0"/>
        <w:jc w:val="center"/>
        <w:rPr/>
      </w:pPr>
      <w:r>
        <w:rPr/>
        <w:t> </w:t>
      </w:r>
    </w:p>
    <w:p>
      <w:pPr>
        <w:pStyle w:val="TextBody"/>
        <w:bidi w:val="0"/>
        <w:spacing w:before="40" w:after="283"/>
        <w:jc w:val="left"/>
        <w:rPr>
          <w:rFonts w:ascii="Outfit;sans-serif" w:hAnsi="Outfit;sans-serif"/>
          <w:color w:val="000000"/>
          <w:sz w:val="18"/>
        </w:rPr>
      </w:pPr>
      <w:r>
        <w:rPr>
          <w:rFonts w:ascii="Outfit;sans-serif" w:hAnsi="Outfit;sans-serif"/>
          <w:color w:val="000000"/>
          <w:sz w:val="18"/>
        </w:rPr>
        <w:t>Payment of Filing Fee (Check all boxes that apply):</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Fee computed on table in exhibit required by Item 25(b) per Exchange Act Rules 14a-6(i)(1) and 0-11</w:t>
            </w:r>
          </w:p>
        </w:tc>
      </w:tr>
    </w:tbl>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right"/>
        <w:rPr/>
      </w:pPr>
      <w:r>
        <w:rPr/>
        <w:t> </w:t>
      </w:r>
    </w:p>
    <w:p>
      <w:pPr>
        <w:pStyle w:val="TextBody"/>
        <w:bidi w:val="0"/>
        <w:jc w:val="center"/>
        <w:rPr/>
      </w:pPr>
      <w:r>
        <w:rPr/>
        <w:drawing>
          <wp:inline distT="0" distB="0" distL="0" distR="0">
            <wp:extent cx="6858000" cy="8810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10625"/>
                    </a:xfrm>
                    <a:prstGeom prst="rect">
                      <a:avLst/>
                    </a:prstGeom>
                  </pic:spPr>
                </pic:pic>
              </a:graphicData>
            </a:graphic>
          </wp:inline>
        </w:drawing>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right"/>
        <w:rPr/>
      </w:pPr>
      <w:r>
        <w:rPr/>
        <w:t> </w:t>
      </w:r>
    </w:p>
    <w:p>
      <w:pPr>
        <w:pStyle w:val="Heading1"/>
        <w:bidi w:val="0"/>
        <w:jc w:val="center"/>
        <w:rPr/>
      </w:pPr>
      <w:r>
        <w:rPr/>
        <w:drawing>
          <wp:inline distT="0" distB="0" distL="0" distR="0">
            <wp:extent cx="6858000" cy="8810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10625"/>
                    </a:xfrm>
                    <a:prstGeom prst="rect">
                      <a:avLst/>
                    </a:prstGeom>
                  </pic:spPr>
                </pic:pic>
              </a:graphicData>
            </a:graphic>
          </wp:inline>
        </w:drawing>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both"/>
        <w:rPr/>
      </w:pPr>
      <w:r>
        <w:rPr/>
        <w:t> </w:t>
      </w:r>
    </w:p>
    <w:p>
      <w:pPr>
        <w:pStyle w:val="TextBody"/>
        <w:bidi w:val="0"/>
        <w:spacing w:before="240" w:after="283"/>
        <w:jc w:val="center"/>
        <w:rPr/>
      </w:pPr>
      <w:r>
        <w:rPr/>
        <w:drawing>
          <wp:inline distT="0" distB="0" distL="0" distR="0">
            <wp:extent cx="1828800"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295275"/>
                    </a:xfrm>
                    <a:prstGeom prst="rect">
                      <a:avLst/>
                    </a:prstGeom>
                  </pic:spPr>
                </pic:pic>
              </a:graphicData>
            </a:graphic>
          </wp:inline>
        </w:drawing>
      </w:r>
    </w:p>
    <w:p>
      <w:pPr>
        <w:pStyle w:val="TextBody"/>
        <w:bidi w:val="0"/>
        <w:spacing w:before="240" w:after="283"/>
        <w:jc w:val="left"/>
        <w:rPr>
          <w:rFonts w:ascii="Outfit;sans-serif" w:hAnsi="Outfit;sans-serif"/>
          <w:b/>
          <w:color w:val="00002D"/>
          <w:sz w:val="22"/>
        </w:rPr>
      </w:pPr>
      <w:r>
        <w:rPr>
          <w:rFonts w:ascii="Outfit;sans-serif" w:hAnsi="Outfit;sans-serif"/>
          <w:b/>
          <w:color w:val="00002D"/>
          <w:sz w:val="22"/>
        </w:rPr>
        <w:t>April 22, 2026</w:t>
      </w:r>
    </w:p>
    <w:p>
      <w:pPr>
        <w:pStyle w:val="TextBody"/>
        <w:bidi w:val="0"/>
        <w:spacing w:before="240" w:after="283"/>
        <w:jc w:val="both"/>
        <w:rPr>
          <w:rFonts w:ascii="Outfit;sans-serif" w:hAnsi="Outfit;sans-serif"/>
          <w:color w:val="00002D"/>
          <w:sz w:val="22"/>
        </w:rPr>
      </w:pPr>
      <w:r>
        <w:rPr>
          <w:rFonts w:ascii="Outfit;sans-serif" w:hAnsi="Outfit;sans-serif"/>
          <w:color w:val="00002D"/>
          <w:sz w:val="22"/>
        </w:rPr>
        <w:t>My Fellow Stockholders:</w:t>
      </w:r>
    </w:p>
    <w:p>
      <w:pPr>
        <w:pStyle w:val="TextBody"/>
        <w:bidi w:val="0"/>
        <w:spacing w:before="120" w:after="283"/>
        <w:jc w:val="both"/>
        <w:rPr>
          <w:rFonts w:ascii="Times New Roman" w:hAnsi="Times New Roman"/>
          <w:sz w:val="20"/>
        </w:rPr>
      </w:pPr>
      <w:r>
        <w:rPr>
          <w:rFonts w:ascii="Outfit;sans-serif" w:hAnsi="Outfit;sans-serif"/>
          <w:color w:val="00002D"/>
          <w:sz w:val="22"/>
        </w:rPr>
        <w:t xml:space="preserve">On behalf of the Board of Directors, I want to thank you for your investment in CarGurus and for the confidence you place in this Board to oversee your interests in our company. On behalf of the Board, I am pleased to invite you to attend the 2026 Annual Meeting of Stockholders of CarGurus, Inc. (the Annual Meeting), which will be held virtually on Wednesday, June 3, 2026, at 2:00 p.m. Eastern Time, conducted via live audio webcast at </w:t>
      </w:r>
      <w:r>
        <w:rPr>
          <w:rFonts w:ascii="Outfit;sans-serif" w:hAnsi="Outfit;sans-serif"/>
          <w:i/>
          <w:color w:val="00002D"/>
          <w:sz w:val="22"/>
        </w:rPr>
        <w:t>www.virtualshareholdermeeting.com/CARG2026</w:t>
      </w:r>
      <w:r>
        <w:rPr>
          <w:rFonts w:ascii="Outfit;sans-serif" w:hAnsi="Outfit;sans-serif"/>
          <w:color w:val="00002D"/>
          <w:sz w:val="22"/>
        </w:rPr>
        <w:t>.</w:t>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Pursuant to the U.S. Securities and Exchange Commission rules that allow issuers to furnish proxy materials to stockholders over the internet, we are posting the proxy materials on the internet and delivering to our stockholders a Notice of Internet Availability of Proxy Materials. This delivery process will allow us to provide stockholders with the information they need quickly and efficiently, while lowering the costs of delivery and reducing the environmental impact of the Annual Meeting. On or about April 22, 2026, we will begin mailing to our stockholders a Notice of Internet Availability of Proxy Materials containing instructions on how to access or request a copy of our proxy statement for the Annual Meeting and our Annual Report on Form 10-K for the year ended December 31, 2025.</w:t>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The Notice of Annual Meeting of Stockholders and the proxy statement contain details of the business to be conducted at the Annual Meeting.</w:t>
      </w:r>
    </w:p>
    <w:p>
      <w:pPr>
        <w:pStyle w:val="TextBody"/>
        <w:bidi w:val="0"/>
        <w:spacing w:before="120" w:after="283"/>
        <w:jc w:val="both"/>
        <w:rPr>
          <w:rFonts w:ascii="Times New Roman" w:hAnsi="Times New Roman"/>
          <w:sz w:val="20"/>
        </w:rPr>
      </w:pPr>
      <w:r>
        <w:rPr>
          <w:rFonts w:ascii="Outfit;sans-serif" w:hAnsi="Outfit;sans-serif"/>
          <w:b/>
          <w:color w:val="00002D"/>
          <w:sz w:val="22"/>
        </w:rPr>
        <w:t>Your vote is important.</w:t>
      </w:r>
      <w:r>
        <w:rPr>
          <w:rFonts w:ascii="Times New Roman" w:hAnsi="Times New Roman"/>
          <w:color w:val="00002D"/>
          <w:sz w:val="20"/>
        </w:rPr>
        <w:t xml:space="preserve"> </w:t>
      </w:r>
      <w:r>
        <w:rPr>
          <w:rFonts w:ascii="Outfit;sans-serif" w:hAnsi="Outfit;sans-serif"/>
          <w:color w:val="00002D"/>
          <w:sz w:val="22"/>
        </w:rPr>
        <w:t>Whether or not you plan to attend the Annual Meeting, we hope you will vote as soon as possible. You may vote over the internet, by telephone, or by mailing a proxy card. Voting over the internet, by telephone, or by written proxy will ensure your representation at the Annual Meeting regardless of whether or not you attend. Please review the instructions in the proxy materials regarding each of these voting options.</w:t>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Thank you for your ongoing support and investment in CarGurus.</w:t>
      </w:r>
    </w:p>
    <w:p>
      <w:pPr>
        <w:pStyle w:val="TextBody"/>
        <w:bidi w:val="0"/>
        <w:spacing w:before="240" w:after="283"/>
        <w:jc w:val="both"/>
        <w:rPr>
          <w:rFonts w:ascii="Outfit;sans-serif" w:hAnsi="Outfit;sans-serif"/>
          <w:color w:val="00002D"/>
          <w:sz w:val="22"/>
        </w:rPr>
      </w:pPr>
      <w:r>
        <w:rPr>
          <w:rFonts w:ascii="Outfit;sans-serif" w:hAnsi="Outfit;sans-serif"/>
          <w:color w:val="00002D"/>
          <w:sz w:val="22"/>
        </w:rPr>
        <w:t>Very truly yours,</w:t>
      </w:r>
    </w:p>
    <w:p>
      <w:pPr>
        <w:pStyle w:val="TextBody"/>
        <w:bidi w:val="0"/>
        <w:spacing w:before="120" w:after="283"/>
        <w:jc w:val="both"/>
        <w:rPr/>
      </w:pPr>
      <w:r>
        <w:rPr/>
        <w:drawing>
          <wp:inline distT="0" distB="0" distL="0" distR="0">
            <wp:extent cx="68580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 cy="685800"/>
                    </a:xfrm>
                    <a:prstGeom prst="rect">
                      <a:avLst/>
                    </a:prstGeom>
                  </pic:spPr>
                </pic:pic>
              </a:graphicData>
            </a:graphic>
          </wp:inline>
        </w:drawing>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Jason Trevisan</w:t>
      </w:r>
    </w:p>
    <w:p>
      <w:pPr>
        <w:pStyle w:val="TextBody"/>
        <w:bidi w:val="0"/>
        <w:jc w:val="both"/>
        <w:rPr>
          <w:rFonts w:ascii="Outfit;sans-serif" w:hAnsi="Outfit;sans-serif"/>
          <w:color w:val="00002D"/>
          <w:sz w:val="22"/>
        </w:rPr>
      </w:pPr>
      <w:r>
        <w:rPr>
          <w:rFonts w:ascii="Outfit;sans-serif" w:hAnsi="Outfit;sans-serif"/>
          <w:color w:val="00002D"/>
          <w:sz w:val="22"/>
        </w:rPr>
        <w:t>Chief Executive Officer and Director</w:t>
      </w:r>
    </w:p>
    <w:p>
      <w:pPr>
        <w:pStyle w:val="Heading1"/>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left"/>
        <w:rPr/>
      </w:pPr>
      <w:r>
        <w:rPr/>
        <w:t> </w:t>
      </w:r>
    </w:p>
    <w:p>
      <w:pPr>
        <w:pStyle w:val="TextBody"/>
        <w:bidi w:val="0"/>
        <w:jc w:val="center"/>
        <w:rPr/>
      </w:pPr>
      <w:r>
        <w:rPr/>
        <w:drawing>
          <wp:inline distT="0" distB="0" distL="0" distR="0">
            <wp:extent cx="1828800"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28800" cy="295275"/>
                    </a:xfrm>
                    <a:prstGeom prst="rect">
                      <a:avLst/>
                    </a:prstGeom>
                  </pic:spPr>
                </pic:pic>
              </a:graphicData>
            </a:graphic>
          </wp:inline>
        </w:drawing>
      </w:r>
    </w:p>
    <w:p>
      <w:pPr>
        <w:pStyle w:val="TextBody"/>
        <w:bidi w:val="0"/>
        <w:spacing w:before="120" w:after="120"/>
        <w:jc w:val="center"/>
        <w:rPr>
          <w:rFonts w:ascii="Outfit;sans-serif" w:hAnsi="Outfit;sans-serif"/>
          <w:b/>
          <w:color w:val="00002D"/>
          <w:sz w:val="38"/>
        </w:rPr>
      </w:pPr>
      <w:r>
        <w:rPr>
          <w:rFonts w:ascii="Outfit;sans-serif" w:hAnsi="Outfit;sans-serif"/>
          <w:b/>
          <w:color w:val="00002D"/>
          <w:sz w:val="38"/>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2749"/>
        <w:gridCol w:w="2370"/>
        <w:gridCol w:w="1621"/>
        <w:gridCol w:w="1890"/>
        <w:gridCol w:w="1575"/>
      </w:tblGrid>
      <w:tr>
        <w:trPr/>
        <w:tc>
          <w:tcPr>
            <w:tcW w:w="274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2749" w:type="dxa"/>
            <w:tcBorders>
              <w:bottom w:val="single" w:sz="12" w:space="0" w:color="D9E1EB"/>
              <w:right w:val="single" w:sz="12" w:space="0" w:color="D9E1EB"/>
            </w:tcBorders>
            <w:tcMar>
              <w:top w:w="0" w:type="dxa"/>
              <w:left w:w="0" w:type="dxa"/>
              <w:right w:w="115" w:type="dxa"/>
            </w:tcMar>
            <w:vAlign w:val="center"/>
          </w:tcPr>
          <w:p>
            <w:pPr>
              <w:pStyle w:val="TableContents"/>
              <w:bidi w:val="0"/>
              <w:spacing w:before="120" w:after="283"/>
              <w:jc w:val="left"/>
              <w:rPr>
                <w:rFonts w:ascii="Outfit;sans-serif" w:hAnsi="Outfit;sans-serif"/>
                <w:b/>
                <w:color w:val="00002D"/>
                <w:sz w:val="20"/>
              </w:rPr>
            </w:pPr>
            <w:r>
              <w:rPr>
                <w:rFonts w:ascii="Outfit;sans-serif" w:hAnsi="Outfit;sans-serif"/>
                <w:b/>
                <w:color w:val="00002D"/>
                <w:sz w:val="20"/>
              </w:rPr>
              <w:t>WHEN</w:t>
            </w:r>
          </w:p>
        </w:tc>
        <w:tc>
          <w:tcPr>
            <w:tcW w:w="7456" w:type="dxa"/>
            <w:gridSpan w:val="4"/>
            <w:vMerge w:val="restart"/>
            <w:tcBorders>
              <w:bottom w:val="single" w:sz="12" w:space="0" w:color="000000"/>
            </w:tcBorders>
            <w:tcMar>
              <w:top w:w="0" w:type="dxa"/>
              <w:left w:w="0" w:type="dxa"/>
              <w:right w:w="0" w:type="dxa"/>
            </w:tcMar>
            <w:vAlign w:val="center"/>
          </w:tcPr>
          <w:p>
            <w:pPr>
              <w:pStyle w:val="TableContents"/>
              <w:bidi w:val="0"/>
              <w:spacing w:before="120" w:after="283"/>
              <w:jc w:val="both"/>
              <w:rPr>
                <w:rFonts w:ascii="Times New Roman" w:hAnsi="Times New Roman"/>
                <w:sz w:val="20"/>
              </w:rPr>
            </w:pPr>
            <w:r>
              <w:rPr>
                <w:rFonts w:ascii="Outfit;sans-serif" w:hAnsi="Outfit;sans-serif"/>
                <w:color w:val="00002D"/>
                <w:sz w:val="20"/>
              </w:rPr>
              <w:t xml:space="preserve">The 2026 Annual Meeting of Stockholders of CarGurus, Inc. (the Annual Meeting) will be held on Wednesday, June 3, 2026, at 2:00 p.m. Eastern Time. The Annual Meeting will be a virtual stockholder meeting, conducted via live audio webcast, through which you can submit questions and vote online, just as you could at an in-person meeting. The Annual Meeting can be accessed by visiting </w:t>
            </w:r>
            <w:r>
              <w:rPr>
                <w:rFonts w:ascii="Outfit;sans-serif" w:hAnsi="Outfit;sans-serif"/>
                <w:i/>
                <w:color w:val="00002D"/>
                <w:sz w:val="20"/>
              </w:rPr>
              <w:t xml:space="preserve">www.virtualshareholdermeeting.com/CARG2026 </w:t>
            </w:r>
            <w:r>
              <w:rPr>
                <w:rFonts w:ascii="Outfit;sans-serif" w:hAnsi="Outfit;sans-serif"/>
                <w:color w:val="00002D"/>
                <w:sz w:val="20"/>
              </w:rPr>
              <w:t>and entering your 16-digit control number (included in the Notice of Internet Availability of Proxy Materials mailed to you).</w:t>
            </w:r>
          </w:p>
        </w:tc>
      </w:tr>
      <w:tr>
        <w:trPr/>
        <w:tc>
          <w:tcPr>
            <w:tcW w:w="2749" w:type="dxa"/>
            <w:tcBorders>
              <w:right w:val="single" w:sz="12" w:space="0" w:color="D9E1EB"/>
            </w:tcBorders>
            <w:tcMar>
              <w:top w:w="0" w:type="dxa"/>
              <w:left w:w="0" w:type="dxa"/>
              <w:bottom w:w="0" w:type="dxa"/>
              <w:right w:w="115" w:type="dxa"/>
            </w:tcMar>
            <w:vAlign w:val="center"/>
          </w:tcPr>
          <w:p>
            <w:pPr>
              <w:pStyle w:val="TableContents"/>
              <w:bidi w:val="0"/>
              <w:spacing w:before="120" w:after="283"/>
              <w:jc w:val="center"/>
              <w:rPr/>
            </w:pPr>
            <w:r>
              <w:rPr/>
              <w:drawing>
                <wp:inline distT="0" distB="0" distL="0" distR="0">
                  <wp:extent cx="571500" cy="571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 cy="571500"/>
                          </a:xfrm>
                          <a:prstGeom prst="rect">
                            <a:avLst/>
                          </a:prstGeom>
                        </pic:spPr>
                      </pic:pic>
                    </a:graphicData>
                  </a:graphic>
                </wp:inline>
              </w:drawing>
            </w:r>
          </w:p>
          <w:p>
            <w:pPr>
              <w:pStyle w:val="TableContents"/>
              <w:bidi w:val="0"/>
              <w:spacing w:before="120" w:after="283"/>
              <w:jc w:val="left"/>
              <w:rPr>
                <w:rFonts w:ascii="Outfit;sans-serif" w:hAnsi="Outfit;sans-serif"/>
                <w:color w:val="00002D"/>
                <w:sz w:val="20"/>
              </w:rPr>
            </w:pPr>
            <w:r>
              <w:rPr>
                <w:rFonts w:ascii="Outfit;sans-serif" w:hAnsi="Outfit;sans-serif"/>
                <w:color w:val="00002D"/>
                <w:sz w:val="20"/>
              </w:rPr>
              <w:t>Wednesday, June 3, 2026</w:t>
            </w:r>
          </w:p>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2:00 p.m. Eastern Time</w:t>
            </w:r>
          </w:p>
        </w:tc>
        <w:tc>
          <w:tcPr>
            <w:tcW w:w="7456" w:type="dxa"/>
            <w:gridSpan w:val="4"/>
            <w:vMerge w:val="continue"/>
            <w:tcBorders>
              <w:bottom w:val="single" w:sz="12" w:space="0" w:color="000000"/>
            </w:tcBorders>
            <w:tcMar>
              <w:top w:w="0" w:type="dxa"/>
              <w:left w:w="0" w:type="dxa"/>
              <w:right w:w="0" w:type="dxa"/>
            </w:tcMar>
            <w:vAlign w:val="center"/>
          </w:tcPr>
          <w:p>
            <w:pPr>
              <w:pStyle w:val="Normal"/>
              <w:bidi w:val="0"/>
              <w:jc w:val="left"/>
              <w:rPr/>
            </w:pPr>
            <w:r>
              <w:rPr/>
            </w:r>
          </w:p>
        </w:tc>
      </w:tr>
      <w:tr>
        <w:trPr/>
        <w:tc>
          <w:tcPr>
            <w:tcW w:w="2749" w:type="dxa"/>
            <w:tcBorders>
              <w:bottom w:val="single" w:sz="12" w:space="0" w:color="D9E1EB"/>
              <w:right w:val="single" w:sz="12" w:space="0" w:color="D9E1EB"/>
            </w:tcBorders>
            <w:tcMar>
              <w:top w:w="0" w:type="dxa"/>
              <w:left w:w="0" w:type="dxa"/>
              <w:right w:w="115" w:type="dxa"/>
            </w:tcMar>
            <w:vAlign w:val="center"/>
          </w:tcPr>
          <w:p>
            <w:pPr>
              <w:pStyle w:val="TableContents"/>
              <w:bidi w:val="0"/>
              <w:spacing w:before="120" w:after="283"/>
              <w:jc w:val="left"/>
              <w:rPr>
                <w:rFonts w:ascii="Outfit;sans-serif" w:hAnsi="Outfit;sans-serif"/>
                <w:b/>
                <w:color w:val="00002D"/>
                <w:sz w:val="20"/>
              </w:rPr>
            </w:pPr>
            <w:r>
              <w:rPr>
                <w:rFonts w:ascii="Outfit;sans-serif" w:hAnsi="Outfit;sans-serif"/>
                <w:b/>
                <w:color w:val="00002D"/>
                <w:sz w:val="20"/>
              </w:rPr>
              <w:t>ADMISSION</w:t>
            </w:r>
          </w:p>
        </w:tc>
        <w:tc>
          <w:tcPr>
            <w:tcW w:w="7456" w:type="dxa"/>
            <w:gridSpan w:val="4"/>
            <w:tcBorders>
              <w:bottom w:val="single" w:sz="12" w:space="0" w:color="D9E1EB"/>
            </w:tcBorders>
            <w:tcMar>
              <w:top w:w="0" w:type="dxa"/>
              <w:left w:w="0" w:type="dxa"/>
              <w:right w:w="0" w:type="dxa"/>
            </w:tcMar>
            <w:vAlign w:val="center"/>
          </w:tcPr>
          <w:p>
            <w:pPr>
              <w:pStyle w:val="TableContents"/>
              <w:bidi w:val="0"/>
              <w:spacing w:before="120" w:after="283"/>
              <w:jc w:val="left"/>
              <w:rPr>
                <w:rFonts w:ascii="Outfit;sans-serif" w:hAnsi="Outfit;sans-serif"/>
                <w:b/>
                <w:color w:val="00002D"/>
                <w:sz w:val="21"/>
              </w:rPr>
            </w:pPr>
            <w:r>
              <w:rPr>
                <w:rFonts w:ascii="Outfit;sans-serif" w:hAnsi="Outfit;sans-serif"/>
                <w:b/>
                <w:color w:val="00002D"/>
                <w:sz w:val="21"/>
              </w:rPr>
              <w:t>ITEMS OF BUSINESS</w:t>
            </w:r>
          </w:p>
        </w:tc>
      </w:tr>
      <w:tr>
        <w:trPr/>
        <w:tc>
          <w:tcPr>
            <w:tcW w:w="2749" w:type="dxa"/>
            <w:vMerge w:val="restart"/>
            <w:tcBorders>
              <w:right w:val="single" w:sz="12" w:space="0" w:color="D9E1EB"/>
            </w:tcBorders>
            <w:tcMar>
              <w:top w:w="0" w:type="dxa"/>
              <w:left w:w="0" w:type="dxa"/>
              <w:bottom w:w="0" w:type="dxa"/>
              <w:right w:w="115" w:type="dxa"/>
            </w:tcMar>
            <w:vAlign w:val="center"/>
          </w:tcPr>
          <w:p>
            <w:pPr>
              <w:pStyle w:val="TableContents"/>
              <w:bidi w:val="0"/>
              <w:spacing w:before="120" w:after="283"/>
              <w:jc w:val="center"/>
              <w:rPr/>
            </w:pPr>
            <w:r>
              <w:rPr/>
              <w:drawing>
                <wp:inline distT="0" distB="0" distL="0" distR="0">
                  <wp:extent cx="581025" cy="581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1025" cy="581025"/>
                          </a:xfrm>
                          <a:prstGeom prst="rect">
                            <a:avLst/>
                          </a:prstGeom>
                        </pic:spPr>
                      </pic:pic>
                    </a:graphicData>
                  </a:graphic>
                </wp:inline>
              </w:drawing>
            </w:r>
          </w:p>
          <w:p>
            <w:pPr>
              <w:pStyle w:val="TableContents"/>
              <w:bidi w:val="0"/>
              <w:spacing w:before="120" w:after="283"/>
              <w:jc w:val="left"/>
              <w:rPr>
                <w:rFonts w:ascii="Times New Roman" w:hAnsi="Times New Roman"/>
                <w:sz w:val="20"/>
              </w:rPr>
            </w:pPr>
            <w:r>
              <w:rPr>
                <w:rFonts w:ascii="Outfit;sans-serif" w:hAnsi="Outfit;sans-serif"/>
                <w:color w:val="00002D"/>
                <w:sz w:val="20"/>
              </w:rPr>
              <w:t xml:space="preserve">Via live audio webcast: </w:t>
            </w:r>
            <w:r>
              <w:rPr>
                <w:rFonts w:ascii="Outfit;sans-serif" w:hAnsi="Outfit;sans-serif"/>
                <w:i/>
                <w:color w:val="00002D"/>
                <w:sz w:val="20"/>
              </w:rPr>
              <w:t>www.virtualshareholder</w:t>
              <w:br/>
              <w:t>meeting.com/CARG2026</w:t>
            </w:r>
          </w:p>
        </w:tc>
        <w:tc>
          <w:tcPr>
            <w:tcW w:w="2370" w:type="dxa"/>
            <w:tcBorders>
              <w:bottom w:val="single" w:sz="12" w:space="0" w:color="D9E1EB"/>
            </w:tcBorders>
            <w:tcMar>
              <w:top w:w="0" w:type="dxa"/>
              <w:left w:w="0" w:type="dxa"/>
              <w:right w:w="0" w:type="dxa"/>
            </w:tcMar>
            <w:vAlign w:val="center"/>
          </w:tcPr>
          <w:p>
            <w:pPr>
              <w:pStyle w:val="TableContents"/>
              <w:bidi w:val="0"/>
              <w:spacing w:before="120" w:after="283"/>
              <w:jc w:val="left"/>
              <w:rPr>
                <w:rFonts w:ascii="Outfit;sans-serif" w:hAnsi="Outfit;sans-serif"/>
                <w:color w:val="00002D"/>
                <w:sz w:val="20"/>
              </w:rPr>
            </w:pPr>
            <w:r>
              <w:rPr>
                <w:rFonts w:ascii="Outfit;sans-serif" w:hAnsi="Outfit;sans-serif"/>
                <w:color w:val="00002D"/>
                <w:sz w:val="20"/>
              </w:rPr>
              <w:t>1</w:t>
            </w:r>
          </w:p>
        </w:tc>
        <w:tc>
          <w:tcPr>
            <w:tcW w:w="5086" w:type="dxa"/>
            <w:gridSpan w:val="3"/>
            <w:tcBorders>
              <w:bottom w:val="single" w:sz="12"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2D"/>
                <w:sz w:val="20"/>
              </w:rPr>
            </w:pPr>
            <w:r>
              <w:rPr>
                <w:rFonts w:ascii="Outfit;sans-serif" w:hAnsi="Outfit;sans-serif"/>
                <w:color w:val="00002D"/>
                <w:sz w:val="20"/>
              </w:rPr>
              <w:t>To elect two Class III directors nominated by the Board of Directors, each to serve for a three-year term expiring at the 2029 annual meeting of stockholders, or until their respective successors have been duly elected and qualified</w:t>
            </w:r>
          </w:p>
        </w:tc>
      </w:tr>
      <w:tr>
        <w:trPr/>
        <w:tc>
          <w:tcPr>
            <w:tcW w:w="2749" w:type="dxa"/>
            <w:vMerge w:val="continue"/>
            <w:tcBorders>
              <w:right w:val="single" w:sz="12" w:space="0" w:color="D9E1EB"/>
            </w:tcBorders>
            <w:tcMar>
              <w:top w:w="0" w:type="dxa"/>
              <w:left w:w="0" w:type="dxa"/>
              <w:bottom w:w="0" w:type="dxa"/>
              <w:right w:w="115" w:type="dxa"/>
            </w:tcMar>
            <w:vAlign w:val="center"/>
          </w:tcPr>
          <w:p>
            <w:pPr>
              <w:pStyle w:val="Normal"/>
              <w:bidi w:val="0"/>
              <w:jc w:val="left"/>
              <w:rPr/>
            </w:pPr>
            <w:r>
              <w:rPr/>
            </w:r>
          </w:p>
        </w:tc>
        <w:tc>
          <w:tcPr>
            <w:tcW w:w="2370" w:type="dxa"/>
            <w:tcBorders>
              <w:bottom w:val="single" w:sz="12" w:space="0" w:color="D9E1EB"/>
            </w:tcBorders>
            <w:tcMar>
              <w:top w:w="0" w:type="dxa"/>
              <w:left w:w="0" w:type="dxa"/>
              <w:right w:w="0" w:type="dxa"/>
            </w:tcMar>
            <w:vAlign w:val="center"/>
          </w:tcPr>
          <w:p>
            <w:pPr>
              <w:pStyle w:val="TableContents"/>
              <w:bidi w:val="0"/>
              <w:spacing w:before="120" w:after="283"/>
              <w:jc w:val="left"/>
              <w:rPr>
                <w:rFonts w:ascii="Outfit;sans-serif" w:hAnsi="Outfit;sans-serif"/>
                <w:color w:val="00002D"/>
                <w:sz w:val="20"/>
              </w:rPr>
            </w:pPr>
            <w:r>
              <w:rPr>
                <w:rFonts w:ascii="Outfit;sans-serif" w:hAnsi="Outfit;sans-serif"/>
                <w:color w:val="00002D"/>
                <w:sz w:val="20"/>
              </w:rPr>
              <w:t>2</w:t>
            </w:r>
          </w:p>
        </w:tc>
        <w:tc>
          <w:tcPr>
            <w:tcW w:w="5086" w:type="dxa"/>
            <w:gridSpan w:val="3"/>
            <w:tcBorders>
              <w:bottom w:val="single" w:sz="12"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2D"/>
                <w:sz w:val="20"/>
              </w:rPr>
            </w:pPr>
            <w:r>
              <w:rPr>
                <w:rFonts w:ascii="Outfit;sans-serif" w:hAnsi="Outfit;sans-serif"/>
                <w:color w:val="00002D"/>
                <w:sz w:val="20"/>
              </w:rPr>
              <w:t>To ratify the appointment of Ernst &amp; Young LLP as our independent registered public accounting firm for the year ending December 31, 2026</w:t>
            </w:r>
          </w:p>
        </w:tc>
      </w:tr>
      <w:tr>
        <w:trPr/>
        <w:tc>
          <w:tcPr>
            <w:tcW w:w="2749" w:type="dxa"/>
            <w:vMerge w:val="continue"/>
            <w:tcBorders>
              <w:right w:val="single" w:sz="12" w:space="0" w:color="D9E1EB"/>
            </w:tcBorders>
            <w:tcMar>
              <w:top w:w="0" w:type="dxa"/>
              <w:left w:w="0" w:type="dxa"/>
              <w:bottom w:w="0" w:type="dxa"/>
              <w:right w:w="115" w:type="dxa"/>
            </w:tcMar>
            <w:vAlign w:val="center"/>
          </w:tcPr>
          <w:p>
            <w:pPr>
              <w:pStyle w:val="Normal"/>
              <w:bidi w:val="0"/>
              <w:jc w:val="left"/>
              <w:rPr/>
            </w:pPr>
            <w:r>
              <w:rPr/>
            </w:r>
          </w:p>
        </w:tc>
        <w:tc>
          <w:tcPr>
            <w:tcW w:w="2370" w:type="dxa"/>
            <w:tcBorders>
              <w:bottom w:val="single" w:sz="12" w:space="0" w:color="D9E1EB"/>
            </w:tcBorders>
            <w:tcMar>
              <w:top w:w="0" w:type="dxa"/>
              <w:left w:w="0" w:type="dxa"/>
              <w:right w:w="0" w:type="dxa"/>
            </w:tcMar>
            <w:vAlign w:val="center"/>
          </w:tcPr>
          <w:p>
            <w:pPr>
              <w:pStyle w:val="TableContents"/>
              <w:bidi w:val="0"/>
              <w:spacing w:before="120" w:after="283"/>
              <w:jc w:val="left"/>
              <w:rPr>
                <w:rFonts w:ascii="Outfit;sans-serif" w:hAnsi="Outfit;sans-serif"/>
                <w:color w:val="00002D"/>
                <w:sz w:val="20"/>
              </w:rPr>
            </w:pPr>
            <w:r>
              <w:rPr>
                <w:rFonts w:ascii="Outfit;sans-serif" w:hAnsi="Outfit;sans-serif"/>
                <w:color w:val="00002D"/>
                <w:sz w:val="20"/>
              </w:rPr>
              <w:t>3</w:t>
            </w:r>
          </w:p>
        </w:tc>
        <w:tc>
          <w:tcPr>
            <w:tcW w:w="5086" w:type="dxa"/>
            <w:gridSpan w:val="3"/>
            <w:tcBorders>
              <w:bottom w:val="single" w:sz="12"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2D"/>
                <w:sz w:val="20"/>
              </w:rPr>
            </w:pPr>
            <w:r>
              <w:rPr>
                <w:rFonts w:ascii="Outfit;sans-serif" w:hAnsi="Outfit;sans-serif"/>
                <w:color w:val="00002D"/>
                <w:sz w:val="20"/>
              </w:rPr>
              <w:t>To conduct a non-binding advisory vote to approve the compensation of our named executive officers for 2025</w:t>
            </w:r>
          </w:p>
        </w:tc>
      </w:tr>
      <w:tr>
        <w:trPr/>
        <w:tc>
          <w:tcPr>
            <w:tcW w:w="2749" w:type="dxa"/>
            <w:tcBorders>
              <w:bottom w:val="single" w:sz="12" w:space="0" w:color="D9E1EB"/>
              <w:right w:val="single" w:sz="12" w:space="0" w:color="D9E1EB"/>
            </w:tcBorders>
            <w:tcMar>
              <w:top w:w="0" w:type="dxa"/>
              <w:left w:w="0" w:type="dxa"/>
              <w:right w:w="115" w:type="dxa"/>
            </w:tcMar>
            <w:vAlign w:val="center"/>
          </w:tcPr>
          <w:p>
            <w:pPr>
              <w:pStyle w:val="TableContents"/>
              <w:bidi w:val="0"/>
              <w:spacing w:before="120" w:after="283"/>
              <w:jc w:val="left"/>
              <w:rPr>
                <w:rFonts w:ascii="Outfit;sans-serif" w:hAnsi="Outfit;sans-serif"/>
                <w:b/>
                <w:color w:val="00002D"/>
                <w:sz w:val="20"/>
              </w:rPr>
            </w:pPr>
            <w:r>
              <w:rPr>
                <w:rFonts w:ascii="Outfit;sans-serif" w:hAnsi="Outfit;sans-serif"/>
                <w:b/>
                <w:color w:val="00002D"/>
                <w:sz w:val="20"/>
              </w:rPr>
              <w:t>WHO MAY VOTE</w:t>
            </w:r>
          </w:p>
        </w:tc>
        <w:tc>
          <w:tcPr>
            <w:tcW w:w="2370" w:type="dxa"/>
            <w:tcBorders>
              <w:bottom w:val="single" w:sz="12" w:space="0" w:color="D9E1EB"/>
            </w:tcBorders>
            <w:tcMar>
              <w:top w:w="0" w:type="dxa"/>
              <w:left w:w="0" w:type="dxa"/>
              <w:right w:w="0" w:type="dxa"/>
            </w:tcMar>
            <w:vAlign w:val="center"/>
          </w:tcPr>
          <w:p>
            <w:pPr>
              <w:pStyle w:val="TableContents"/>
              <w:bidi w:val="0"/>
              <w:spacing w:before="120" w:after="283"/>
              <w:jc w:val="left"/>
              <w:rPr>
                <w:rFonts w:ascii="Outfit;sans-serif" w:hAnsi="Outfit;sans-serif"/>
                <w:color w:val="00002D"/>
                <w:sz w:val="20"/>
              </w:rPr>
            </w:pPr>
            <w:r>
              <w:rPr>
                <w:rFonts w:ascii="Outfit;sans-serif" w:hAnsi="Outfit;sans-serif"/>
                <w:color w:val="00002D"/>
                <w:sz w:val="20"/>
              </w:rPr>
              <w:t>4</w:t>
            </w:r>
          </w:p>
        </w:tc>
        <w:tc>
          <w:tcPr>
            <w:tcW w:w="5086" w:type="dxa"/>
            <w:gridSpan w:val="3"/>
            <w:tcBorders>
              <w:bottom w:val="single" w:sz="12"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2D"/>
                <w:sz w:val="20"/>
              </w:rPr>
            </w:pPr>
            <w:r>
              <w:rPr>
                <w:rFonts w:ascii="Outfit;sans-serif" w:hAnsi="Outfit;sans-serif"/>
                <w:color w:val="00002D"/>
                <w:sz w:val="20"/>
              </w:rPr>
              <w:t>To transact such other business as may properly come before the Annual Meeting or any adjournment or postponement thereof</w:t>
            </w:r>
          </w:p>
        </w:tc>
      </w:tr>
      <w:tr>
        <w:trPr/>
        <w:tc>
          <w:tcPr>
            <w:tcW w:w="2749" w:type="dxa"/>
            <w:vMerge w:val="restart"/>
            <w:tcBorders>
              <w:right w:val="single" w:sz="12" w:space="0" w:color="D9E1EB"/>
            </w:tcBorders>
            <w:tcMar>
              <w:top w:w="0" w:type="dxa"/>
              <w:left w:w="0" w:type="dxa"/>
              <w:bottom w:w="0" w:type="dxa"/>
              <w:right w:w="115" w:type="dxa"/>
            </w:tcMar>
            <w:vAlign w:val="center"/>
          </w:tcPr>
          <w:p>
            <w:pPr>
              <w:pStyle w:val="TableContents"/>
              <w:bidi w:val="0"/>
              <w:spacing w:before="120" w:after="283"/>
              <w:jc w:val="center"/>
              <w:rPr/>
            </w:pPr>
            <w:r>
              <w:rPr/>
              <w:drawing>
                <wp:inline distT="0" distB="0" distL="0" distR="0">
                  <wp:extent cx="50482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4825" cy="504825"/>
                          </a:xfrm>
                          <a:prstGeom prst="rect">
                            <a:avLst/>
                          </a:prstGeom>
                        </pic:spPr>
                      </pic:pic>
                    </a:graphicData>
                  </a:graphic>
                </wp:inline>
              </w:drawing>
            </w:r>
          </w:p>
          <w:p>
            <w:pPr>
              <w:pStyle w:val="TableContents"/>
              <w:bidi w:val="0"/>
              <w:spacing w:before="120" w:after="283"/>
              <w:jc w:val="left"/>
              <w:rPr>
                <w:rFonts w:ascii="Outfit;sans-serif" w:hAnsi="Outfit;sans-serif"/>
                <w:color w:val="00002D"/>
                <w:sz w:val="20"/>
              </w:rPr>
            </w:pPr>
            <w:r>
              <w:rPr>
                <w:rFonts w:ascii="Outfit;sans-serif" w:hAnsi="Outfit;sans-serif"/>
                <w:color w:val="00002D"/>
                <w:sz w:val="20"/>
              </w:rPr>
              <w:t>Stockholders of record on our books at the close of business on April 10, 2026, the record date for the Annual Meeting</w:t>
            </w:r>
          </w:p>
        </w:tc>
        <w:tc>
          <w:tcPr>
            <w:tcW w:w="7456" w:type="dxa"/>
            <w:gridSpan w:val="4"/>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Outfit;sans-serif" w:hAnsi="Outfit;sans-serif"/>
                <w:b/>
                <w:color w:val="00002D"/>
                <w:sz w:val="20"/>
              </w:rPr>
              <w:t xml:space="preserve">Your vote is important to us. </w:t>
            </w:r>
            <w:r>
              <w:rPr>
                <w:rFonts w:ascii="Outfit;sans-serif" w:hAnsi="Outfit;sans-serif"/>
                <w:color w:val="00002D"/>
                <w:sz w:val="20"/>
              </w:rPr>
              <w:t>Whether or not you plan to attend the Annual Meeting, we urge you to take the time to read our proxy materials and vote your shares.</w:t>
            </w:r>
          </w:p>
        </w:tc>
      </w:tr>
      <w:tr>
        <w:trPr/>
        <w:tc>
          <w:tcPr>
            <w:tcW w:w="2749" w:type="dxa"/>
            <w:vMerge w:val="continue"/>
            <w:tcBorders>
              <w:right w:val="single" w:sz="12" w:space="0" w:color="D9E1EB"/>
            </w:tcBorders>
            <w:tcMar>
              <w:top w:w="0" w:type="dxa"/>
              <w:left w:w="0" w:type="dxa"/>
              <w:bottom w:w="0" w:type="dxa"/>
              <w:right w:w="115" w:type="dxa"/>
            </w:tcMar>
            <w:vAlign w:val="center"/>
          </w:tcPr>
          <w:p>
            <w:pPr>
              <w:pStyle w:val="Normal"/>
              <w:bidi w:val="0"/>
              <w:jc w:val="left"/>
              <w:rPr/>
            </w:pPr>
            <w:r>
              <w:rPr/>
            </w:r>
          </w:p>
        </w:tc>
        <w:tc>
          <w:tcPr>
            <w:tcW w:w="7456" w:type="dxa"/>
            <w:gridSpan w:val="4"/>
            <w:tcBorders>
              <w:top w:val="single" w:sz="12" w:space="0" w:color="000000"/>
            </w:tcBorders>
            <w:tcMar>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HOW TO VOTE</w:t>
            </w:r>
          </w:p>
        </w:tc>
      </w:tr>
      <w:tr>
        <w:trPr/>
        <w:tc>
          <w:tcPr>
            <w:tcW w:w="2749" w:type="dxa"/>
            <w:vMerge w:val="continue"/>
            <w:tcBorders>
              <w:right w:val="single" w:sz="12" w:space="0" w:color="D9E1EB"/>
            </w:tcBorders>
            <w:tcMar>
              <w:top w:w="0" w:type="dxa"/>
              <w:left w:w="0" w:type="dxa"/>
              <w:bottom w:w="0" w:type="dxa"/>
              <w:right w:w="115" w:type="dxa"/>
            </w:tcMar>
            <w:vAlign w:val="center"/>
          </w:tcPr>
          <w:p>
            <w:pPr>
              <w:pStyle w:val="Normal"/>
              <w:bidi w:val="0"/>
              <w:jc w:val="left"/>
              <w:rPr/>
            </w:pPr>
            <w:r>
              <w:rPr/>
            </w:r>
          </w:p>
        </w:tc>
        <w:tc>
          <w:tcPr>
            <w:tcW w:w="2370" w:type="dxa"/>
            <w:tcBorders>
              <w:right w:val="single" w:sz="12" w:space="0" w:color="D9E1EB"/>
            </w:tcBorders>
            <w:tcMar>
              <w:top w:w="0" w:type="dxa"/>
              <w:left w:w="0" w:type="dxa"/>
              <w:bottom w:w="0" w:type="dxa"/>
              <w:right w:w="115" w:type="dxa"/>
            </w:tcMar>
            <w:vAlign w:val="center"/>
          </w:tcPr>
          <w:p>
            <w:pPr>
              <w:pStyle w:val="TableContents"/>
              <w:bidi w:val="0"/>
              <w:spacing w:before="120" w:after="283"/>
              <w:jc w:val="center"/>
              <w:rPr>
                <w:rFonts w:ascii="Outfit;sans-serif" w:hAnsi="Outfit;sans-serif"/>
                <w:b/>
                <w:color w:val="00002D"/>
                <w:sz w:val="20"/>
              </w:rPr>
            </w:pPr>
            <w:r>
              <w:rPr>
                <w:rFonts w:ascii="Outfit;sans-serif" w:hAnsi="Outfit;sans-serif"/>
                <w:b/>
                <w:color w:val="00002D"/>
                <w:sz w:val="20"/>
              </w:rPr>
              <w:t>BY INTERNET</w:t>
            </w:r>
          </w:p>
          <w:p>
            <w:pPr>
              <w:pStyle w:val="TableContents"/>
              <w:bidi w:val="0"/>
              <w:spacing w:before="120" w:after="283"/>
              <w:jc w:val="center"/>
              <w:rPr>
                <w:rFonts w:ascii="Outfit;sans-serif" w:hAnsi="Outfit;sans-serif"/>
                <w:i/>
                <w:color w:val="00002D"/>
                <w:sz w:val="20"/>
              </w:rPr>
            </w:pPr>
            <w:r>
              <w:rPr>
                <w:rFonts w:ascii="Outfit;sans-serif" w:hAnsi="Outfit;sans-serif"/>
                <w:i/>
                <w:color w:val="00002D"/>
                <w:sz w:val="20"/>
              </w:rPr>
              <w:t>www.proxyvote.com</w:t>
            </w:r>
          </w:p>
        </w:tc>
        <w:tc>
          <w:tcPr>
            <w:tcW w:w="1621" w:type="dxa"/>
            <w:tcBorders>
              <w:right w:val="single" w:sz="12" w:space="0" w:color="D9E1EB"/>
            </w:tcBorders>
            <w:tcMar>
              <w:top w:w="0" w:type="dxa"/>
              <w:left w:w="0" w:type="dxa"/>
              <w:bottom w:w="0" w:type="dxa"/>
              <w:right w:w="115" w:type="dxa"/>
            </w:tcMar>
            <w:vAlign w:val="center"/>
          </w:tcPr>
          <w:p>
            <w:pPr>
              <w:pStyle w:val="TableContents"/>
              <w:bidi w:val="0"/>
              <w:spacing w:before="120" w:after="283"/>
              <w:jc w:val="center"/>
              <w:rPr>
                <w:rFonts w:ascii="Outfit;sans-serif" w:hAnsi="Outfit;sans-serif"/>
                <w:b/>
                <w:color w:val="00002D"/>
                <w:sz w:val="20"/>
              </w:rPr>
            </w:pPr>
            <w:r>
              <w:rPr>
                <w:rFonts w:ascii="Outfit;sans-serif" w:hAnsi="Outfit;sans-serif"/>
                <w:b/>
                <w:color w:val="00002D"/>
                <w:sz w:val="20"/>
              </w:rPr>
              <w:t>BY TELEPHONE</w:t>
            </w:r>
          </w:p>
          <w:p>
            <w:pPr>
              <w:pStyle w:val="TableContents"/>
              <w:bidi w:val="0"/>
              <w:spacing w:before="120" w:after="283"/>
              <w:jc w:val="center"/>
              <w:rPr>
                <w:rFonts w:ascii="Outfit;sans-serif" w:hAnsi="Outfit;sans-serif"/>
                <w:color w:val="00002D"/>
                <w:sz w:val="20"/>
              </w:rPr>
            </w:pPr>
            <w:r>
              <w:rPr>
                <w:rFonts w:ascii="Outfit;sans-serif" w:hAnsi="Outfit;sans-serif"/>
                <w:color w:val="00002D"/>
                <w:sz w:val="20"/>
              </w:rPr>
              <w:t>1-800-690-6903</w:t>
            </w:r>
          </w:p>
        </w:tc>
        <w:tc>
          <w:tcPr>
            <w:tcW w:w="1890" w:type="dxa"/>
            <w:tcBorders>
              <w:right w:val="single" w:sz="12" w:space="0" w:color="D9E1EB"/>
            </w:tcBorders>
            <w:tcMar>
              <w:top w:w="0" w:type="dxa"/>
              <w:left w:w="0" w:type="dxa"/>
              <w:bottom w:w="0" w:type="dxa"/>
              <w:right w:w="115" w:type="dxa"/>
            </w:tcMar>
            <w:vAlign w:val="center"/>
          </w:tcPr>
          <w:p>
            <w:pPr>
              <w:pStyle w:val="TableContents"/>
              <w:bidi w:val="0"/>
              <w:spacing w:before="120" w:after="283"/>
              <w:jc w:val="center"/>
              <w:rPr>
                <w:rFonts w:ascii="Outfit;sans-serif" w:hAnsi="Outfit;sans-serif"/>
                <w:b/>
                <w:color w:val="00002D"/>
                <w:sz w:val="20"/>
              </w:rPr>
            </w:pPr>
            <w:r>
              <w:rPr>
                <w:rFonts w:ascii="Outfit;sans-serif" w:hAnsi="Outfit;sans-serif"/>
                <w:b/>
                <w:color w:val="00002D"/>
                <w:sz w:val="20"/>
              </w:rPr>
              <w:t>BY MAIL</w:t>
            </w:r>
          </w:p>
          <w:p>
            <w:pPr>
              <w:pStyle w:val="TableContents"/>
              <w:bidi w:val="0"/>
              <w:spacing w:before="120" w:after="283"/>
              <w:jc w:val="center"/>
              <w:rPr>
                <w:rFonts w:ascii="Outfit;sans-serif" w:hAnsi="Outfit;sans-serif"/>
                <w:color w:val="00002D"/>
                <w:sz w:val="20"/>
              </w:rPr>
            </w:pPr>
            <w:r>
              <w:rPr>
                <w:rFonts w:ascii="Outfit;sans-serif" w:hAnsi="Outfit;sans-serif"/>
                <w:color w:val="00002D"/>
                <w:sz w:val="20"/>
              </w:rPr>
              <w:t>Mail your completed, dated, and signed proxy card</w:t>
            </w:r>
          </w:p>
        </w:tc>
        <w:tc>
          <w:tcPr>
            <w:tcW w:w="1575" w:type="dxa"/>
            <w:tcBorders/>
            <w:tcMar>
              <w:top w:w="0" w:type="dxa"/>
              <w:left w:w="0" w:type="dxa"/>
              <w:bottom w:w="0" w:type="dxa"/>
              <w:right w:w="0" w:type="dxa"/>
            </w:tcMar>
            <w:vAlign w:val="center"/>
          </w:tcPr>
          <w:p>
            <w:pPr>
              <w:pStyle w:val="TableContents"/>
              <w:bidi w:val="0"/>
              <w:spacing w:before="120" w:after="283"/>
              <w:jc w:val="center"/>
              <w:rPr>
                <w:rFonts w:ascii="Outfit;sans-serif" w:hAnsi="Outfit;sans-serif"/>
                <w:b/>
                <w:color w:val="00002D"/>
                <w:sz w:val="20"/>
              </w:rPr>
            </w:pPr>
            <w:r>
              <w:rPr>
                <w:rFonts w:ascii="Outfit;sans-serif" w:hAnsi="Outfit;sans-serif"/>
                <w:b/>
                <w:color w:val="00002D"/>
                <w:sz w:val="20"/>
              </w:rPr>
              <w:t>AT THE MEETING</w:t>
            </w:r>
          </w:p>
          <w:p>
            <w:pPr>
              <w:pStyle w:val="TableContents"/>
              <w:bidi w:val="0"/>
              <w:spacing w:before="120" w:after="283"/>
              <w:jc w:val="center"/>
              <w:rPr>
                <w:rFonts w:ascii="Outfit;sans-serif" w:hAnsi="Outfit;sans-serif"/>
                <w:color w:val="00002D"/>
                <w:sz w:val="20"/>
              </w:rPr>
            </w:pPr>
            <w:r>
              <w:rPr>
                <w:rFonts w:ascii="Outfit;sans-serif" w:hAnsi="Outfit;sans-serif"/>
                <w:color w:val="00002D"/>
                <w:sz w:val="20"/>
              </w:rPr>
              <w:t>Attend the virtual meeting and</w:t>
              <w:br/>
              <w:t>vote online</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By Order of the Board of Directors,</w:t>
      </w:r>
    </w:p>
    <w:p>
      <w:pPr>
        <w:pStyle w:val="TextBody"/>
        <w:bidi w:val="0"/>
        <w:jc w:val="left"/>
        <w:rPr/>
      </w:pPr>
      <w:r>
        <w:rPr/>
        <w:drawing>
          <wp:inline distT="0" distB="0" distL="0" distR="0">
            <wp:extent cx="1066800" cy="523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66800" cy="523875"/>
                    </a:xfrm>
                    <a:prstGeom prst="rect">
                      <a:avLst/>
                    </a:prstGeom>
                  </pic:spPr>
                </pic:pic>
              </a:graphicData>
            </a:graphic>
          </wp:inline>
        </w:drawing>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Javier Zamora</w:t>
      </w:r>
    </w:p>
    <w:p>
      <w:pPr>
        <w:pStyle w:val="TextBody"/>
        <w:bidi w:val="0"/>
        <w:jc w:val="both"/>
        <w:rPr>
          <w:rFonts w:ascii="Outfit;sans-serif" w:hAnsi="Outfit;sans-serif"/>
          <w:color w:val="00002D"/>
          <w:sz w:val="20"/>
        </w:rPr>
      </w:pPr>
      <w:r>
        <w:rPr>
          <w:rFonts w:ascii="Outfit;sans-serif" w:hAnsi="Outfit;sans-serif"/>
          <w:color w:val="00002D"/>
          <w:sz w:val="20"/>
        </w:rPr>
        <w:t>General Counsel and Corporate Secretary</w:t>
      </w:r>
    </w:p>
    <w:p>
      <w:pPr>
        <w:pStyle w:val="TextBody"/>
        <w:bidi w:val="0"/>
        <w:jc w:val="both"/>
        <w:rPr>
          <w:rFonts w:ascii="Outfit;sans-serif" w:hAnsi="Outfit;sans-serif"/>
          <w:color w:val="00002D"/>
          <w:sz w:val="20"/>
        </w:rPr>
      </w:pPr>
      <w:r>
        <w:rPr>
          <w:rFonts w:ascii="Outfit;sans-serif" w:hAnsi="Outfit;sans-serif"/>
          <w:color w:val="00002D"/>
          <w:sz w:val="20"/>
        </w:rPr>
        <w:t>CarGurus, Inc.</w:t>
      </w:r>
    </w:p>
    <w:p>
      <w:pPr>
        <w:pStyle w:val="TextBody"/>
        <w:bidi w:val="0"/>
        <w:jc w:val="both"/>
        <w:rPr>
          <w:rFonts w:ascii="Times New Roman" w:hAnsi="Times New Roman"/>
          <w:sz w:val="20"/>
        </w:rPr>
      </w:pPr>
      <w:r>
        <w:rPr>
          <w:rFonts w:ascii="Outfit;sans-serif" w:hAnsi="Outfit;sans-serif"/>
          <w:color w:val="00002D"/>
          <w:sz w:val="20"/>
        </w:rPr>
        <w:t>1001 Boylston Street, 16</w:t>
      </w:r>
      <w:r>
        <w:rPr>
          <w:rFonts w:ascii="Outfit;sans-serif" w:hAnsi="Outfit;sans-serif"/>
          <w:color w:val="00002D"/>
          <w:sz w:val="13"/>
        </w:rPr>
        <w:t>th</w:t>
      </w:r>
      <w:r>
        <w:rPr>
          <w:rFonts w:ascii="Times New Roman" w:hAnsi="Times New Roman"/>
          <w:color w:val="00002D"/>
          <w:sz w:val="20"/>
        </w:rPr>
        <w:t xml:space="preserve"> </w:t>
      </w:r>
      <w:r>
        <w:rPr>
          <w:rFonts w:ascii="Outfit;sans-serif" w:hAnsi="Outfit;sans-serif"/>
          <w:color w:val="00002D"/>
          <w:sz w:val="20"/>
        </w:rPr>
        <w:t>Floor</w:t>
      </w:r>
    </w:p>
    <w:p>
      <w:pPr>
        <w:pStyle w:val="TextBody"/>
        <w:bidi w:val="0"/>
        <w:jc w:val="both"/>
        <w:rPr>
          <w:rFonts w:ascii="Outfit;sans-serif" w:hAnsi="Outfit;sans-serif"/>
          <w:color w:val="00002D"/>
          <w:sz w:val="20"/>
        </w:rPr>
      </w:pPr>
      <w:r>
        <w:rPr>
          <w:rFonts w:ascii="Outfit;sans-serif" w:hAnsi="Outfit;sans-serif"/>
          <w:color w:val="00002D"/>
          <w:sz w:val="20"/>
        </w:rPr>
        <w:t>Boston, Massachusetts 02115</w:t>
      </w:r>
    </w:p>
    <w:p>
      <w:pPr>
        <w:pStyle w:val="TextBody"/>
        <w:bidi w:val="0"/>
        <w:jc w:val="left"/>
        <w:rPr>
          <w:rFonts w:ascii="Outfit;sans-serif" w:hAnsi="Outfit;sans-serif"/>
          <w:color w:val="00002D"/>
          <w:sz w:val="20"/>
        </w:rPr>
      </w:pPr>
      <w:r>
        <w:rPr>
          <w:rFonts w:ascii="Outfit;sans-serif" w:hAnsi="Outfit;sans-serif"/>
          <w:color w:val="00002D"/>
          <w:sz w:val="20"/>
        </w:rPr>
        <w:t>April 22, 2026</w:t>
      </w:r>
    </w:p>
    <w:p>
      <w:pPr>
        <w:pStyle w:val="TextBody"/>
        <w:bidi w:val="0"/>
        <w:spacing w:before="120" w:after="283"/>
        <w:jc w:val="both"/>
        <w:rPr>
          <w:rFonts w:ascii="Times New Roman" w:hAnsi="Times New Roman"/>
          <w:sz w:val="20"/>
        </w:rPr>
      </w:pPr>
      <w:r>
        <w:rPr>
          <w:rFonts w:ascii="Outfit;sans-serif" w:hAnsi="Outfit;sans-serif"/>
          <w:b/>
          <w:color w:val="00002D"/>
          <w:sz w:val="20"/>
        </w:rPr>
        <w:t xml:space="preserve">Important Notice Regarding Internet Availability of Proxy Materials for the 2026 Annual Meeting of Stockholders to be Held on June 3, 2026: </w:t>
      </w:r>
      <w:r>
        <w:rPr>
          <w:rFonts w:ascii="Outfit;sans-serif" w:hAnsi="Outfit;sans-serif"/>
          <w:color w:val="00002D"/>
          <w:sz w:val="20"/>
        </w:rPr>
        <w:t>The proxy materials and our Annual Report on Form 10-K for the year ended December 31, 2025,</w:t>
      </w:r>
      <w:r>
        <w:rPr>
          <w:rFonts w:ascii="Times New Roman" w:hAnsi="Times New Roman"/>
          <w:color w:val="00002D"/>
          <w:sz w:val="20"/>
        </w:rPr>
        <w:t xml:space="preserve"> </w:t>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left"/>
        <w:rPr/>
      </w:pPr>
      <w:r>
        <w:rPr/>
        <w:t> </w:t>
      </w:r>
    </w:p>
    <w:p>
      <w:pPr>
        <w:pStyle w:val="TextBody"/>
        <w:bidi w:val="0"/>
        <w:spacing w:before="120" w:after="283"/>
        <w:jc w:val="both"/>
        <w:rPr>
          <w:rFonts w:ascii="Times New Roman" w:hAnsi="Times New Roman"/>
          <w:sz w:val="20"/>
        </w:rPr>
      </w:pPr>
      <w:r>
        <w:rPr>
          <w:rFonts w:ascii="Outfit;sans-serif" w:hAnsi="Outfit;sans-serif"/>
          <w:color w:val="00002D"/>
          <w:sz w:val="20"/>
        </w:rPr>
        <w:t xml:space="preserve">are available at </w:t>
      </w:r>
      <w:r>
        <w:rPr>
          <w:rFonts w:ascii="Outfit;sans-serif" w:hAnsi="Outfit;sans-serif"/>
          <w:i/>
          <w:color w:val="00002D"/>
          <w:sz w:val="20"/>
        </w:rPr>
        <w:t>www.proxyvote.com</w:t>
      </w:r>
      <w:r>
        <w:rPr>
          <w:rFonts w:ascii="Outfit;sans-serif" w:hAnsi="Outfit;sans-serif"/>
          <w:color w:val="00002D"/>
          <w:sz w:val="20"/>
        </w:rPr>
        <w:t xml:space="preserve">. These documents are also available to any stockholder who wishes to receive a paper copy by visiting </w:t>
      </w:r>
      <w:r>
        <w:rPr>
          <w:rFonts w:ascii="Outfit;sans-serif" w:hAnsi="Outfit;sans-serif"/>
          <w:i/>
          <w:color w:val="00002D"/>
          <w:sz w:val="20"/>
        </w:rPr>
        <w:t>www.proxyvote.com</w:t>
      </w:r>
      <w:r>
        <w:rPr>
          <w:rFonts w:ascii="Outfit;sans-serif" w:hAnsi="Outfit;sans-serif"/>
          <w:color w:val="00002D"/>
          <w:sz w:val="20"/>
        </w:rPr>
        <w:t xml:space="preserve">, calling 1-800-579-1639, or sending an email to </w:t>
      </w:r>
      <w:r>
        <w:rPr>
          <w:rFonts w:ascii="Outfit;sans-serif" w:hAnsi="Outfit;sans-serif"/>
          <w:i/>
          <w:color w:val="00002D"/>
          <w:sz w:val="20"/>
        </w:rPr>
        <w:t>sendmaterial@proxyvote.com</w:t>
      </w:r>
      <w:r>
        <w:rPr>
          <w:rFonts w:ascii="Outfit;sans-serif" w:hAnsi="Outfit;sans-serif"/>
          <w:color w:val="00002D"/>
          <w:sz w:val="20"/>
        </w:rPr>
        <w:t>. Any requests for a paper copy of these documents should be received by May 20, 2026, in order to ensure timely delivery.</w:t>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left"/>
        <w:rPr/>
      </w:pPr>
      <w:r>
        <w:rPr/>
        <w:t> </w:t>
      </w:r>
    </w:p>
    <w:p>
      <w:pPr>
        <w:pStyle w:val="TextBody"/>
        <w:bidi w:val="0"/>
        <w:spacing w:before="0" w:after="120"/>
        <w:jc w:val="left"/>
        <w:rPr>
          <w:rFonts w:ascii="Outfit;sans-serif" w:hAnsi="Outfit;sans-serif"/>
          <w:b/>
          <w:color w:val="3465B0"/>
          <w:sz w:val="40"/>
        </w:rPr>
      </w:pPr>
      <w:r>
        <w:rPr>
          <w:rFonts w:ascii="Outfit;sans-serif" w:hAnsi="Outfit;sans-serif"/>
          <w:b/>
          <w:color w:val="3465B0"/>
          <w:sz w:val="40"/>
        </w:rPr>
        <w:t>Special Note Regarding Forward-Looking Statements</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“aim,” “anticipates,” “believes,” “could,” “estimates,” “expects,” “goal,” “intends,” “may,” “might,” “plans,” “potential,” “predicts,” “projects,” “seeks,” “should,” “target,” “will,” “would,” or similar expressions and the negatives of those terms.</w:t>
      </w:r>
    </w:p>
    <w:p>
      <w:pPr>
        <w:pStyle w:val="TextBody"/>
        <w:bidi w:val="0"/>
        <w:spacing w:before="0" w:after="120"/>
        <w:jc w:val="both"/>
        <w:rPr>
          <w:rFonts w:ascii="Times New Roman" w:hAnsi="Times New Roman"/>
          <w:sz w:val="20"/>
        </w:rPr>
      </w:pPr>
      <w:r>
        <w:rPr>
          <w:rFonts w:ascii="Outfit;sans-serif" w:hAnsi="Outfit;sans-serif"/>
          <w:color w:val="00002D"/>
          <w:sz w:val="22"/>
        </w:rPr>
        <w:t>Forward-looking statements contained in this proxy statement include statements about the matters discussed regarding the expectation of performance under our compensation plans, our anticipated financial and operational performance, and the plans and objectives of management. You should not rely upon forward-looking statements as predictions of future events. We have based the forward</w:t>
        <w:noBreakHyphen/>
        <w:t>looking statements contained in this proxy statement on our current expectations and projections about future events and trends that we reasonably believe may affect our business, financial condition, operating results, and growth prospects. The outcome of the events described in these forward-looking statements is subject to risks, uncertainties, and other factors described in the section titled “Risk Factors” and elsewhere in our Annual Report on Form 10-K for the year ended December 31, 2025 (Annual Report). Should one or more of these risks or other uncertainties materialize, or if underlying assumptions prove incorrect, actual outcomes may vary materially from those described or implied in the forward-looking statements. We operate in a very competitive and rapidly changing environment. New risks and uncertainties emerge from time to time, and it is not possible for us to predict all risks and uncertainties that could have an impact on the forward-looking statements contained in this proxy statement. Further, our forward-looking statements do not reflect the potential impact of any future acquisitions, mergers, dispositions, or joint ventures in which we may be involved or investments we may make.</w:t>
      </w:r>
      <w:r>
        <w:rPr>
          <w:rFonts w:ascii="Times New Roman" w:hAnsi="Times New Roman"/>
          <w:color w:val="00002D"/>
          <w:sz w:val="20"/>
        </w:rPr>
        <w:t xml:space="preserve"> </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The forward-looking statements made in this proxy statement speak only to events as of the date of this proxy statement. We undertake no obligation to update any forward-looking statement made in this proxy statement to reflect events or circumstances after the date of this proxy statement or to reflect new information or the occurrence of unanticipated events, except as required by law.</w:t>
      </w:r>
    </w:p>
    <w:p>
      <w:pPr>
        <w:pStyle w:val="TextBody"/>
        <w:bidi w:val="0"/>
        <w:spacing w:before="0" w:after="120"/>
        <w:jc w:val="left"/>
        <w:rPr>
          <w:rFonts w:ascii="Outfit;sans-serif" w:hAnsi="Outfit;sans-serif"/>
          <w:b/>
          <w:color w:val="3465B0"/>
          <w:sz w:val="40"/>
        </w:rPr>
      </w:pPr>
      <w:r>
        <w:rPr>
          <w:rFonts w:ascii="Outfit;sans-serif" w:hAnsi="Outfit;sans-serif"/>
          <w:b/>
          <w:color w:val="3465B0"/>
          <w:sz w:val="40"/>
        </w:rPr>
        <w:t>Note Regarding Trademarks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CarGurus® and Autolist® are each a registered trademark of CarGurus, Inc. and PistonHeads® is a registered trademark of CarGurus Ireland Limited in the U.K. and the European Union. All other product names, trademarks, and registered trademarks are property of their respective owners. We have omitted the ® and  designations, as applicable, for the trademarks used in this proxy statement.</w:t>
      </w:r>
    </w:p>
    <w:p>
      <w:pPr>
        <w:pStyle w:val="TextBody"/>
        <w:bidi w:val="0"/>
        <w:spacing w:before="0" w:after="120"/>
        <w:jc w:val="left"/>
        <w:rPr>
          <w:rFonts w:ascii="Outfit;sans-serif" w:hAnsi="Outfit;sans-serif"/>
          <w:b/>
          <w:color w:val="3465B0"/>
          <w:sz w:val="40"/>
        </w:rPr>
      </w:pPr>
      <w:r>
        <w:rPr>
          <w:rFonts w:ascii="Outfit;sans-serif" w:hAnsi="Outfit;sans-serif"/>
          <w:b/>
          <w:color w:val="3465B0"/>
          <w:sz w:val="40"/>
        </w:rPr>
        <w:t>Websites and Other Information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Website addresses referenced in this proxy statement are inactive textual references only, and the content on the referenced websites specifically does not constitute a part of this proxy statement and is not incorporated by reference herein.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As used in this proxy statement, the terms “CarGurus,” the “Company,” “we,” “us,” and “our” mean CarGurus, Inc. unless the context indicates otherwise.</w:t>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left"/>
        <w:rPr/>
      </w:pPr>
      <w:r>
        <w:rPr/>
        <w:t> </w:t>
      </w:r>
    </w:p>
    <w:p>
      <w:pPr>
        <w:pStyle w:val="TextBody"/>
        <w:bidi w:val="0"/>
        <w:spacing w:before="120" w:after="120"/>
        <w:jc w:val="left"/>
        <w:rPr>
          <w:rFonts w:ascii="Outfit;sans-serif" w:hAnsi="Outfit;sans-serif"/>
          <w:b/>
          <w:color w:val="3465B0"/>
          <w:sz w:val="39"/>
        </w:rPr>
      </w:pPr>
      <w:r>
        <w:rPr>
          <w:rFonts w:ascii="Outfit;sans-serif" w:hAnsi="Outfit;sans-serif"/>
          <w:b/>
          <w:color w:val="3465B0"/>
          <w:sz w:val="39"/>
        </w:rPr>
        <w:t>Important Notice Regarding Availability of Proxy Materials</w:t>
      </w:r>
    </w:p>
    <w:p>
      <w:pPr>
        <w:pStyle w:val="TextBody"/>
        <w:bidi w:val="0"/>
        <w:spacing w:before="0" w:after="120"/>
        <w:jc w:val="both"/>
        <w:rPr>
          <w:rFonts w:ascii="Outfit;sans-serif" w:hAnsi="Outfit;sans-serif"/>
          <w:b/>
          <w:color w:val="00002D"/>
          <w:sz w:val="22"/>
        </w:rPr>
      </w:pPr>
      <w:r>
        <w:rPr>
          <w:rFonts w:ascii="Outfit;sans-serif" w:hAnsi="Outfit;sans-serif"/>
          <w:b/>
          <w:color w:val="00002D"/>
          <w:sz w:val="22"/>
        </w:rPr>
        <w:t>For the 2026 Annual Meeting of Stockholders on June 3, 2026</w:t>
      </w:r>
    </w:p>
    <w:p>
      <w:pPr>
        <w:pStyle w:val="TextBody"/>
        <w:bidi w:val="0"/>
        <w:spacing w:before="0" w:after="120"/>
        <w:jc w:val="both"/>
        <w:rPr>
          <w:rFonts w:ascii="Times New Roman" w:hAnsi="Times New Roman"/>
          <w:sz w:val="20"/>
        </w:rPr>
      </w:pPr>
      <w:r>
        <w:rPr>
          <w:rFonts w:ascii="Outfit;sans-serif" w:hAnsi="Outfit;sans-serif"/>
          <w:b/>
          <w:color w:val="00002D"/>
          <w:sz w:val="22"/>
        </w:rPr>
        <w:t xml:space="preserve">This proxy statement and the 2025 Annual Report to Stockholders are available for viewing, printing, and downloading at </w:t>
      </w:r>
      <w:r>
        <w:rPr>
          <w:rFonts w:ascii="Outfit;sans-serif" w:hAnsi="Outfit;sans-serif"/>
          <w:b/>
          <w:i/>
          <w:color w:val="00002D"/>
          <w:sz w:val="22"/>
        </w:rPr>
        <w:t>www.proxyvote.com</w:t>
      </w:r>
      <w:r>
        <w:rPr>
          <w:rFonts w:ascii="Outfit;sans-serif" w:hAnsi="Outfit;sans-serif"/>
          <w:b/>
          <w:color w:val="00002D"/>
          <w:sz w:val="22"/>
        </w:rPr>
        <w:t>.</w:t>
      </w:r>
    </w:p>
    <w:p>
      <w:pPr>
        <w:pStyle w:val="TextBody"/>
        <w:bidi w:val="0"/>
        <w:spacing w:before="0" w:after="120"/>
        <w:jc w:val="both"/>
        <w:rPr>
          <w:rFonts w:ascii="Outfit;sans-serif" w:hAnsi="Outfit;sans-serif"/>
          <w:b/>
          <w:color w:val="00002D"/>
          <w:sz w:val="22"/>
        </w:rPr>
      </w:pPr>
      <w:r>
        <w:rPr>
          <w:rFonts w:ascii="Outfit;sans-serif" w:hAnsi="Outfit;sans-serif"/>
          <w:b/>
          <w:color w:val="00002D"/>
          <w:sz w:val="22"/>
        </w:rPr>
        <w:t>A copy of our Annual Report on Form 10-K (including financial statements and schedules) for the year ended December 31, 2025, as filed with the U.S. Securities and Exchange Commission (SEC) except for exhibits, will be furnished without charge to any stockholder after written or verbal request to:</w:t>
      </w:r>
    </w:p>
    <w:p>
      <w:pPr>
        <w:pStyle w:val="TextBody"/>
        <w:bidi w:val="0"/>
        <w:jc w:val="center"/>
        <w:rPr>
          <w:rFonts w:ascii="Outfit;sans-serif" w:hAnsi="Outfit;sans-serif"/>
          <w:b/>
          <w:color w:val="00002D"/>
          <w:sz w:val="22"/>
        </w:rPr>
      </w:pPr>
      <w:r>
        <w:rPr>
          <w:rFonts w:ascii="Outfit;sans-serif" w:hAnsi="Outfit;sans-serif"/>
          <w:b/>
          <w:color w:val="00002D"/>
          <w:sz w:val="22"/>
        </w:rPr>
        <w:t>CarGurus, Inc.</w:t>
      </w:r>
    </w:p>
    <w:p>
      <w:pPr>
        <w:pStyle w:val="TextBody"/>
        <w:bidi w:val="0"/>
        <w:jc w:val="center"/>
        <w:rPr>
          <w:rFonts w:ascii="Outfit;sans-serif" w:hAnsi="Outfit;sans-serif"/>
          <w:b/>
          <w:color w:val="00002D"/>
          <w:sz w:val="22"/>
        </w:rPr>
      </w:pPr>
      <w:r>
        <w:rPr>
          <w:rFonts w:ascii="Outfit;sans-serif" w:hAnsi="Outfit;sans-serif"/>
          <w:b/>
          <w:color w:val="00002D"/>
          <w:sz w:val="22"/>
        </w:rPr>
        <w:t>Attn: Investor Relations</w:t>
      </w:r>
    </w:p>
    <w:p>
      <w:pPr>
        <w:pStyle w:val="TextBody"/>
        <w:bidi w:val="0"/>
        <w:jc w:val="center"/>
        <w:rPr>
          <w:rFonts w:ascii="Times New Roman" w:hAnsi="Times New Roman"/>
          <w:sz w:val="20"/>
        </w:rPr>
      </w:pPr>
      <w:r>
        <w:rPr>
          <w:rFonts w:ascii="Outfit;sans-serif" w:hAnsi="Outfit;sans-serif"/>
          <w:b/>
          <w:color w:val="00002D"/>
          <w:sz w:val="22"/>
        </w:rPr>
        <w:t>1001 Boylston Street, 16</w:t>
      </w:r>
      <w:r>
        <w:rPr>
          <w:rFonts w:ascii="Outfit;sans-serif" w:hAnsi="Outfit;sans-serif"/>
          <w:b/>
          <w:color w:val="00002D"/>
          <w:sz w:val="15"/>
        </w:rPr>
        <w:t>th</w:t>
      </w:r>
      <w:r>
        <w:rPr>
          <w:rFonts w:ascii="Times New Roman" w:hAnsi="Times New Roman"/>
          <w:color w:val="00002D"/>
          <w:sz w:val="20"/>
        </w:rPr>
        <w:t xml:space="preserve"> </w:t>
      </w:r>
      <w:r>
        <w:rPr>
          <w:rFonts w:ascii="Outfit;sans-serif" w:hAnsi="Outfit;sans-serif"/>
          <w:b/>
          <w:color w:val="00002D"/>
          <w:sz w:val="22"/>
        </w:rPr>
        <w:t>Floor</w:t>
      </w:r>
    </w:p>
    <w:p>
      <w:pPr>
        <w:pStyle w:val="TextBody"/>
        <w:bidi w:val="0"/>
        <w:jc w:val="center"/>
        <w:rPr>
          <w:rFonts w:ascii="Outfit;sans-serif" w:hAnsi="Outfit;sans-serif"/>
          <w:b/>
          <w:color w:val="00002D"/>
          <w:sz w:val="22"/>
        </w:rPr>
      </w:pPr>
      <w:r>
        <w:rPr>
          <w:rFonts w:ascii="Outfit;sans-serif" w:hAnsi="Outfit;sans-serif"/>
          <w:b/>
          <w:color w:val="00002D"/>
          <w:sz w:val="22"/>
        </w:rPr>
        <w:t>Boston, Massachusetts 02115</w:t>
      </w:r>
    </w:p>
    <w:p>
      <w:pPr>
        <w:pStyle w:val="TextBody"/>
        <w:bidi w:val="0"/>
        <w:jc w:val="center"/>
        <w:rPr>
          <w:rFonts w:ascii="Outfit;sans-serif" w:hAnsi="Outfit;sans-serif"/>
          <w:b/>
          <w:color w:val="00002D"/>
          <w:sz w:val="22"/>
        </w:rPr>
      </w:pPr>
      <w:r>
        <w:rPr>
          <w:rFonts w:ascii="Outfit;sans-serif" w:hAnsi="Outfit;sans-serif"/>
          <w:b/>
          <w:color w:val="00002D"/>
          <w:sz w:val="22"/>
        </w:rPr>
        <w:t>Telephone: (617) 354-0068</w:t>
      </w:r>
    </w:p>
    <w:p>
      <w:pPr>
        <w:pStyle w:val="TextBody"/>
        <w:bidi w:val="0"/>
        <w:spacing w:before="120" w:after="283"/>
        <w:jc w:val="both"/>
        <w:rPr>
          <w:rFonts w:ascii="Times New Roman" w:hAnsi="Times New Roman"/>
          <w:sz w:val="20"/>
        </w:rPr>
      </w:pPr>
      <w:r>
        <w:rPr>
          <w:rFonts w:ascii="Outfit;sans-serif" w:hAnsi="Outfit;sans-serif"/>
          <w:b/>
          <w:color w:val="00002D"/>
          <w:sz w:val="22"/>
        </w:rPr>
        <w:t xml:space="preserve">This proxy statement and our Annual Report are also available on the SEC’s website, </w:t>
      </w:r>
      <w:r>
        <w:rPr>
          <w:rFonts w:ascii="Outfit;sans-serif" w:hAnsi="Outfit;sans-serif"/>
          <w:b/>
          <w:i/>
          <w:color w:val="00002D"/>
          <w:sz w:val="22"/>
        </w:rPr>
        <w:t>www.sec.gov</w:t>
      </w:r>
      <w:r>
        <w:rPr>
          <w:rFonts w:ascii="Outfit;sans-serif" w:hAnsi="Outfit;sans-serif"/>
          <w:b/>
          <w:color w:val="00002D"/>
          <w:sz w:val="22"/>
        </w:rPr>
        <w:t>.</w:t>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Table of Contents</w:t>
            </w:r>
          </w:p>
          <w:p>
            <w:pPr>
              <w:pStyle w:val="Heading1"/>
              <w:bidi w:val="0"/>
              <w:spacing w:before="240" w:after="283"/>
              <w:jc w:val="center"/>
              <w:rPr/>
            </w:pPr>
            <w:r>
              <w:rPr/>
              <w:t> </w:t>
            </w:r>
          </w:p>
        </w:tc>
      </w:tr>
    </w:tbl>
    <w:p>
      <w:pPr>
        <w:pStyle w:val="TextBody"/>
        <w:bidi w:val="0"/>
        <w:jc w:val="center"/>
        <w:rPr/>
      </w:pPr>
      <w:r>
        <w:rPr/>
        <w:t> </w:t>
      </w:r>
    </w:p>
    <w:p>
      <w:pPr>
        <w:pStyle w:val="TextBody"/>
        <w:bidi w:val="0"/>
        <w:jc w:val="left"/>
        <w:rPr/>
      </w:pPr>
      <w:bookmarkStart w:id="2" w:name="toc_page"/>
      <w:bookmarkEnd w:id="2"/>
      <w:r>
        <w:rPr/>
        <w:t> </w:t>
      </w:r>
    </w:p>
    <w:tbl>
      <w:tblPr>
        <w:tblW w:w="10205" w:type="dxa"/>
        <w:jc w:val="left"/>
        <w:tblInd w:w="0" w:type="dxa"/>
        <w:tblLayout w:type="fixed"/>
        <w:tblCellMar>
          <w:top w:w="28" w:type="dxa"/>
          <w:left w:w="28" w:type="dxa"/>
          <w:bottom w:w="28" w:type="dxa"/>
          <w:right w:w="28" w:type="dxa"/>
        </w:tblCellMar>
      </w:tblPr>
      <w:tblGrid>
        <w:gridCol w:w="9414"/>
        <w:gridCol w:w="791"/>
      </w:tblGrid>
      <w:tr>
        <w:trPr/>
        <w:tc>
          <w:tcPr>
            <w:tcW w:w="94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jc w:val="left"/>
              <w:rPr/>
            </w:pPr>
            <w:hyperlink w:anchor="proxy_summary">
              <w:r>
                <w:rPr>
                  <w:rStyle w:val="InternetLink"/>
                  <w:rFonts w:ascii="Outfit;sans-serif" w:hAnsi="Outfit;sans-serif"/>
                  <w:b/>
                  <w:color w:val="3465B0"/>
                  <w:sz w:val="24"/>
                  <w:u w:val="single"/>
                </w:rPr>
                <w:t>Proxy Summary</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jc w:val="center"/>
              <w:rPr>
                <w:rFonts w:ascii="Outfit;sans-serif" w:hAnsi="Outfit;sans-serif"/>
                <w:b/>
                <w:color w:val="3465B0"/>
                <w:sz w:val="22"/>
              </w:rPr>
            </w:pPr>
            <w:r>
              <w:rPr>
                <w:rFonts w:ascii="Outfit;sans-serif" w:hAnsi="Outfit;sans-serif"/>
                <w:b/>
                <w:color w:val="3465B0"/>
                <w:sz w:val="22"/>
              </w:rPr>
              <w:t>1</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jc w:val="left"/>
              <w:rPr/>
            </w:pPr>
            <w:hyperlink w:anchor="corporate_governance">
              <w:r>
                <w:rPr>
                  <w:rStyle w:val="InternetLink"/>
                  <w:rFonts w:ascii="Outfit;sans-serif" w:hAnsi="Outfit;sans-serif"/>
                  <w:b/>
                  <w:color w:val="3465B0"/>
                  <w:sz w:val="24"/>
                </w:rPr>
                <w:t>Corporate Governance</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jc w:val="center"/>
              <w:rPr>
                <w:rFonts w:ascii="Outfit;sans-serif" w:hAnsi="Outfit;sans-serif"/>
                <w:b/>
                <w:color w:val="3465B0"/>
                <w:sz w:val="22"/>
              </w:rPr>
            </w:pPr>
            <w:r>
              <w:rPr>
                <w:rFonts w:ascii="Outfit;sans-serif" w:hAnsi="Outfit;sans-serif"/>
                <w:b/>
                <w:color w:val="3465B0"/>
                <w:sz w:val="22"/>
              </w:rPr>
              <w:t>6</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corporate_governance_practices">
              <w:r>
                <w:rPr>
                  <w:rStyle w:val="InternetLink"/>
                  <w:rFonts w:ascii="Outfit;sans-serif" w:hAnsi="Outfit;sans-serif"/>
                  <w:color w:val="00002D"/>
                  <w:sz w:val="22"/>
                  <w:u w:val="single"/>
                </w:rPr>
                <w:t>Corporate Governance Practices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6</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board_structure_and_selection">
              <w:r>
                <w:rPr>
                  <w:rStyle w:val="InternetLink"/>
                  <w:rFonts w:ascii="Outfit;sans-serif" w:hAnsi="Outfit;sans-serif"/>
                  <w:color w:val="00002D"/>
                  <w:sz w:val="22"/>
                  <w:u w:val="single"/>
                </w:rPr>
                <w:t>Board Structure and Selection</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7</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director_nomination_process">
              <w:r>
                <w:rPr>
                  <w:rStyle w:val="InternetLink"/>
                  <w:rFonts w:ascii="Outfit;sans-serif" w:hAnsi="Outfit;sans-serif"/>
                  <w:color w:val="00002D"/>
                  <w:sz w:val="22"/>
                  <w:u w:val="single"/>
                </w:rPr>
                <w:t>Director Nomination Process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9</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jc w:val="left"/>
              <w:rPr/>
            </w:pPr>
            <w:hyperlink w:anchor="board_of_directors">
              <w:r>
                <w:rPr>
                  <w:rStyle w:val="InternetLink"/>
                  <w:rFonts w:ascii="Outfit;sans-serif" w:hAnsi="Outfit;sans-serif"/>
                  <w:b/>
                  <w:color w:val="3465B0"/>
                  <w:sz w:val="24"/>
                  <w:u w:val="single"/>
                </w:rPr>
                <w:t>Board of Directors</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jc w:val="center"/>
              <w:rPr>
                <w:rFonts w:ascii="Outfit;sans-serif" w:hAnsi="Outfit;sans-serif"/>
                <w:b/>
                <w:color w:val="3465B0"/>
                <w:sz w:val="22"/>
              </w:rPr>
            </w:pPr>
            <w:r>
              <w:rPr>
                <w:rFonts w:ascii="Outfit;sans-serif" w:hAnsi="Outfit;sans-serif"/>
                <w:b/>
                <w:color w:val="3465B0"/>
                <w:sz w:val="22"/>
              </w:rPr>
              <w:t>11</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proposal_1_election_of_directors">
              <w:r>
                <w:rPr>
                  <w:rStyle w:val="InternetLink"/>
                  <w:rFonts w:ascii="Outfit;sans-serif" w:hAnsi="Outfit;sans-serif"/>
                  <w:b/>
                  <w:color w:val="00002D"/>
                  <w:sz w:val="22"/>
                  <w:u w:val="single"/>
                </w:rPr>
                <w:t>Proposal 1 – Election of Directors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2"/>
              </w:rPr>
            </w:pPr>
            <w:r>
              <w:rPr>
                <w:rFonts w:ascii="Outfit;sans-serif" w:hAnsi="Outfit;sans-serif"/>
                <w:b/>
                <w:color w:val="000000"/>
                <w:sz w:val="22"/>
              </w:rPr>
              <w:t>11</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board_and_committee_meetings">
              <w:r>
                <w:rPr>
                  <w:rStyle w:val="InternetLink"/>
                  <w:rFonts w:ascii="Outfit;sans-serif" w:hAnsi="Outfit;sans-serif"/>
                  <w:color w:val="00002D"/>
                  <w:sz w:val="22"/>
                  <w:u w:val="single"/>
                </w:rPr>
                <w:t>Board and Committee Meetings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18</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general_risk_oversight">
              <w:r>
                <w:rPr>
                  <w:rStyle w:val="InternetLink"/>
                  <w:rFonts w:ascii="Outfit;sans-serif" w:hAnsi="Outfit;sans-serif"/>
                  <w:color w:val="00002D"/>
                  <w:sz w:val="22"/>
                  <w:u w:val="single"/>
                </w:rPr>
                <w:t>General Risk Oversight</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20</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director_compensation">
              <w:r>
                <w:rPr>
                  <w:rStyle w:val="InternetLink"/>
                  <w:rFonts w:ascii="Outfit;sans-serif" w:hAnsi="Outfit;sans-serif"/>
                  <w:color w:val="00002D"/>
                  <w:sz w:val="22"/>
                  <w:u w:val="single"/>
                </w:rPr>
                <w:t>Director Compensation</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21</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jc w:val="left"/>
              <w:rPr/>
            </w:pPr>
            <w:hyperlink w:anchor="audit_committee_matters">
              <w:r>
                <w:rPr>
                  <w:rStyle w:val="InternetLink"/>
                  <w:rFonts w:ascii="Outfit;sans-serif" w:hAnsi="Outfit;sans-serif"/>
                  <w:b/>
                  <w:color w:val="3465B0"/>
                  <w:sz w:val="24"/>
                  <w:u w:val="single"/>
                </w:rPr>
                <w:t>Audit Committee Matters</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jc w:val="center"/>
              <w:rPr>
                <w:rFonts w:ascii="Outfit;sans-serif" w:hAnsi="Outfit;sans-serif"/>
                <w:b/>
                <w:color w:val="3465B0"/>
                <w:sz w:val="22"/>
              </w:rPr>
            </w:pPr>
            <w:r>
              <w:rPr>
                <w:rFonts w:ascii="Outfit;sans-serif" w:hAnsi="Outfit;sans-serif"/>
                <w:b/>
                <w:color w:val="3465B0"/>
                <w:sz w:val="22"/>
              </w:rPr>
              <w:t>23</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Outfit;sans-serif" w:hAnsi="Outfit;sans-serif"/>
                  <w:b/>
                  <w:color w:val="00002D"/>
                  <w:sz w:val="22"/>
                  <w:u w:val="single"/>
                </w:rPr>
                <w:t>Proposal 2 – Ratification of Appointment of Independent Registered Public Accounting Firm</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2"/>
              </w:rPr>
            </w:pPr>
            <w:r>
              <w:rPr>
                <w:rFonts w:ascii="Outfit;sans-serif" w:hAnsi="Outfit;sans-serif"/>
                <w:b/>
                <w:color w:val="000000"/>
                <w:sz w:val="22"/>
              </w:rPr>
              <w:t>23</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Outfit;sans-serif" w:hAnsi="Outfit;sans-serif"/>
                  <w:color w:val="00002D"/>
                  <w:sz w:val="22"/>
                  <w:u w:val="single"/>
                </w:rPr>
                <w:t>Audit Committee Report</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24</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audit_and_other_fees">
              <w:r>
                <w:rPr>
                  <w:rStyle w:val="InternetLink"/>
                  <w:rFonts w:ascii="Outfit;sans-serif" w:hAnsi="Outfit;sans-serif"/>
                  <w:color w:val="00002D"/>
                  <w:sz w:val="22"/>
                  <w:u w:val="single"/>
                </w:rPr>
                <w:t>Audit and Other Fees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preapproval_of_audit_services">
              <w:r>
                <w:rPr>
                  <w:rStyle w:val="InternetLink"/>
                  <w:rFonts w:ascii="Outfit;sans-serif" w:hAnsi="Outfit;sans-serif"/>
                  <w:color w:val="00002D"/>
                  <w:sz w:val="22"/>
                  <w:u w:val="single"/>
                </w:rPr>
                <w:t>Pre-Approval of Audit and Non-Audit Services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jc w:val="left"/>
              <w:rPr/>
            </w:pPr>
            <w:hyperlink w:anchor="executive_compensation_matters">
              <w:r>
                <w:rPr>
                  <w:rStyle w:val="InternetLink"/>
                  <w:rFonts w:ascii="Outfit;sans-serif" w:hAnsi="Outfit;sans-serif"/>
                  <w:b/>
                  <w:color w:val="3465B0"/>
                  <w:sz w:val="24"/>
                  <w:u w:val="single"/>
                </w:rPr>
                <w:t>Executive Compensation Matters</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center"/>
              <w:rPr>
                <w:rFonts w:ascii="Outfit;sans-serif" w:hAnsi="Outfit;sans-serif"/>
                <w:b/>
                <w:color w:val="3465B0"/>
                <w:sz w:val="22"/>
              </w:rPr>
            </w:pPr>
            <w:r>
              <w:rPr>
                <w:rFonts w:ascii="Outfit;sans-serif" w:hAnsi="Outfit;sans-serif"/>
                <w:b/>
                <w:color w:val="3465B0"/>
                <w:sz w:val="22"/>
              </w:rPr>
              <w:t>26</w:t>
            </w:r>
          </w:p>
        </w:tc>
      </w:tr>
      <w:tr>
        <w:trPr/>
        <w:tc>
          <w:tcPr>
            <w:tcW w:w="9414" w:type="dxa"/>
            <w:tcBorders/>
            <w:tcMar>
              <w:top w:w="0" w:type="dxa"/>
              <w:left w:w="0" w:type="dxa"/>
              <w:bottom w:w="0" w:type="dxa"/>
              <w:right w:w="0" w:type="dxa"/>
            </w:tcMar>
            <w:vAlign w:val="center"/>
          </w:tcPr>
          <w:p>
            <w:pPr>
              <w:pStyle w:val="TableContents"/>
              <w:bidi w:val="0"/>
              <w:spacing w:before="0" w:after="283"/>
              <w:ind w:left="0" w:right="0" w:firstLine="340"/>
              <w:jc w:val="left"/>
              <w:rPr/>
            </w:pPr>
            <w:hyperlink w:anchor="proposal_3">
              <w:r>
                <w:rPr>
                  <w:rStyle w:val="InternetLink"/>
                  <w:rFonts w:ascii="Outfit;sans-serif" w:hAnsi="Outfit;sans-serif"/>
                  <w:b/>
                  <w:color w:val="00002D"/>
                  <w:sz w:val="22"/>
                  <w:u w:val="single"/>
                </w:rPr>
                <w:t>Proposal 3 – Advisory Vote on Named Executive Officer Compensation</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2"/>
              </w:rPr>
            </w:pPr>
            <w:r>
              <w:rPr>
                <w:rFonts w:ascii="Outfit;sans-serif" w:hAnsi="Outfit;sans-serif"/>
                <w:b/>
                <w:color w:val="00002D"/>
                <w:sz w:val="22"/>
              </w:rPr>
              <w:t>26</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compensation_discussion_and_analysis">
              <w:r>
                <w:rPr>
                  <w:rStyle w:val="InternetLink"/>
                  <w:rFonts w:ascii="Outfit;sans-serif" w:hAnsi="Outfit;sans-serif"/>
                  <w:color w:val="00002D"/>
                  <w:sz w:val="22"/>
                  <w:u w:val="single"/>
                </w:rPr>
                <w:t>Compensation Discussion and Analysis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22"/>
              </w:rPr>
            </w:pPr>
            <w:r>
              <w:rPr>
                <w:rFonts w:ascii="Outfit;sans-serif" w:hAnsi="Outfit;sans-serif"/>
                <w:color w:val="00002D"/>
                <w:sz w:val="22"/>
              </w:rPr>
              <w:t>27</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compensation_committee_report">
              <w:r>
                <w:rPr>
                  <w:rStyle w:val="InternetLink"/>
                  <w:rFonts w:ascii="Outfit;sans-serif" w:hAnsi="Outfit;sans-serif"/>
                  <w:color w:val="00002D"/>
                  <w:sz w:val="22"/>
                  <w:u w:val="single"/>
                </w:rPr>
                <w:t>Compensation Committee Report</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22"/>
              </w:rPr>
            </w:pPr>
            <w:r>
              <w:rPr>
                <w:rFonts w:ascii="Outfit;sans-serif" w:hAnsi="Outfit;sans-serif"/>
                <w:color w:val="00002D"/>
                <w:sz w:val="22"/>
              </w:rPr>
              <w:t>44</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executive_compensation_tables">
              <w:r>
                <w:rPr>
                  <w:rStyle w:val="InternetLink"/>
                  <w:rFonts w:ascii="Outfit;sans-serif" w:hAnsi="Outfit;sans-serif"/>
                  <w:color w:val="00002D"/>
                  <w:sz w:val="22"/>
                  <w:u w:val="single"/>
                </w:rPr>
                <w:t>Executive Compensation Tables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22"/>
              </w:rPr>
            </w:pPr>
            <w:r>
              <w:rPr>
                <w:rFonts w:ascii="Outfit;sans-serif" w:hAnsi="Outfit;sans-serif"/>
                <w:color w:val="00002D"/>
                <w:sz w:val="22"/>
              </w:rPr>
              <w:t>45</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executive_employment_arrangements">
              <w:r>
                <w:rPr>
                  <w:rStyle w:val="InternetLink"/>
                  <w:rFonts w:ascii="Outfit;sans-serif" w:hAnsi="Outfit;sans-serif"/>
                  <w:color w:val="00002D"/>
                  <w:sz w:val="22"/>
                  <w:u w:val="single"/>
                </w:rPr>
                <w:t>Executive Employment Arrangements</w:t>
              </w:r>
            </w:hyperlink>
          </w:p>
        </w:tc>
        <w:tc>
          <w:tcPr>
            <w:tcW w:w="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22"/>
              </w:rPr>
            </w:pPr>
            <w:r>
              <w:rPr>
                <w:rFonts w:ascii="Outfit;sans-serif" w:hAnsi="Outfit;sans-serif"/>
                <w:color w:val="00002D"/>
                <w:sz w:val="22"/>
              </w:rPr>
              <w:t>50</w:t>
            </w:r>
          </w:p>
        </w:tc>
      </w:tr>
      <w:tr>
        <w:trPr/>
        <w:tc>
          <w:tcPr>
            <w:tcW w:w="9414" w:type="dxa"/>
            <w:tcBorders/>
            <w:tcMar>
              <w:top w:w="0" w:type="dxa"/>
              <w:left w:w="0" w:type="dxa"/>
              <w:bottom w:w="0" w:type="dxa"/>
              <w:right w:w="0" w:type="dxa"/>
            </w:tcMar>
            <w:vAlign w:val="center"/>
          </w:tcPr>
          <w:p>
            <w:pPr>
              <w:pStyle w:val="TableContents"/>
              <w:bidi w:val="0"/>
              <w:spacing w:before="0" w:after="283"/>
              <w:jc w:val="left"/>
              <w:rPr/>
            </w:pPr>
            <w:hyperlink w:anchor="ceo_pay_ratio_disclosure">
              <w:r>
                <w:rPr>
                  <w:rStyle w:val="InternetLink"/>
                  <w:rFonts w:ascii="Outfit;sans-serif" w:hAnsi="Outfit;sans-serif"/>
                  <w:color w:val="00002D"/>
                  <w:sz w:val="22"/>
                  <w:u w:val="single"/>
                </w:rPr>
                <w:t>CEO Pay Ratio Disclosure</w:t>
              </w:r>
            </w:hyperlink>
          </w:p>
        </w:tc>
        <w:tc>
          <w:tcPr>
            <w:tcW w:w="791" w:type="dxa"/>
            <w:tcBorders/>
            <w:tcMar>
              <w:top w:w="0" w:type="dxa"/>
              <w:left w:w="0" w:type="dxa"/>
              <w:bottom w:w="0" w:type="dxa"/>
              <w:right w:w="0" w:type="dxa"/>
            </w:tcMar>
            <w:vAlign w:val="center"/>
          </w:tcPr>
          <w:p>
            <w:pPr>
              <w:pStyle w:val="TableContents"/>
              <w:bidi w:val="0"/>
              <w:spacing w:before="0" w:after="283"/>
              <w:ind w:left="0" w:right="0" w:firstLine="340"/>
              <w:jc w:val="center"/>
              <w:rPr>
                <w:rFonts w:ascii="Outfit;sans-serif" w:hAnsi="Outfit;sans-serif"/>
                <w:color w:val="00002D"/>
                <w:sz w:val="22"/>
              </w:rPr>
            </w:pPr>
            <w:r>
              <w:rPr>
                <w:rFonts w:ascii="Outfit;sans-serif" w:hAnsi="Outfit;sans-serif"/>
                <w:color w:val="00002D"/>
                <w:sz w:val="22"/>
              </w:rPr>
              <w:t>54</w:t>
            </w:r>
          </w:p>
        </w:tc>
      </w:tr>
      <w:tr>
        <w:trPr/>
        <w:tc>
          <w:tcPr>
            <w:tcW w:w="9414" w:type="dxa"/>
            <w:tcBorders/>
            <w:tcMar>
              <w:top w:w="0" w:type="dxa"/>
              <w:left w:w="0" w:type="dxa"/>
              <w:bottom w:w="0" w:type="dxa"/>
              <w:right w:w="0" w:type="dxa"/>
            </w:tcMar>
            <w:vAlign w:val="center"/>
          </w:tcPr>
          <w:p>
            <w:pPr>
              <w:pStyle w:val="TableContents"/>
              <w:bidi w:val="0"/>
              <w:spacing w:before="0" w:after="283"/>
              <w:ind w:left="0" w:right="0" w:firstLine="340"/>
              <w:jc w:val="left"/>
              <w:rPr/>
            </w:pPr>
            <w:hyperlink w:anchor="pay_versus_performance">
              <w:r>
                <w:rPr>
                  <w:rStyle w:val="InternetLink"/>
                  <w:rFonts w:ascii="Outfit;sans-serif" w:hAnsi="Outfit;sans-serif"/>
                  <w:color w:val="00002D"/>
                  <w:sz w:val="22"/>
                  <w:u w:val="single"/>
                </w:rPr>
                <w:t>Pay versus Performance</w:t>
              </w:r>
            </w:hyperlink>
          </w:p>
        </w:tc>
        <w:tc>
          <w:tcPr>
            <w:tcW w:w="791" w:type="dxa"/>
            <w:tcBorders/>
            <w:tcMar>
              <w:top w:w="0" w:type="dxa"/>
              <w:left w:w="0" w:type="dxa"/>
              <w:bottom w:w="0" w:type="dxa"/>
              <w:right w:w="0" w:type="dxa"/>
            </w:tcMar>
            <w:vAlign w:val="center"/>
          </w:tcPr>
          <w:p>
            <w:pPr>
              <w:pStyle w:val="TableContents"/>
              <w:bidi w:val="0"/>
              <w:spacing w:before="0" w:after="283"/>
              <w:ind w:left="0" w:right="0" w:firstLine="340"/>
              <w:jc w:val="center"/>
              <w:rPr>
                <w:rFonts w:ascii="Outfit;sans-serif" w:hAnsi="Outfit;sans-serif"/>
                <w:color w:val="00002D"/>
                <w:sz w:val="22"/>
              </w:rPr>
            </w:pPr>
            <w:r>
              <w:rPr>
                <w:rFonts w:ascii="Outfit;sans-serif" w:hAnsi="Outfit;sans-serif"/>
                <w:color w:val="00002D"/>
                <w:sz w:val="22"/>
              </w:rPr>
              <w:t>55</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left"/>
              <w:rPr/>
            </w:pPr>
            <w:hyperlink w:anchor="security_ownership">
              <w:r>
                <w:rPr>
                  <w:rStyle w:val="InternetLink"/>
                  <w:rFonts w:ascii="Outfit;sans-serif" w:hAnsi="Outfit;sans-serif"/>
                  <w:b/>
                  <w:color w:val="3465B0"/>
                  <w:sz w:val="24"/>
                  <w:u w:val="single"/>
                </w:rPr>
                <w:t>Security Ownership of Certain Beneficial Owners</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center"/>
              <w:rPr>
                <w:rFonts w:ascii="Outfit;sans-serif" w:hAnsi="Outfit;sans-serif"/>
                <w:b/>
                <w:color w:val="3465B0"/>
                <w:sz w:val="22"/>
              </w:rPr>
            </w:pPr>
            <w:r>
              <w:rPr>
                <w:rFonts w:ascii="Outfit;sans-serif" w:hAnsi="Outfit;sans-serif"/>
                <w:b/>
                <w:color w:val="3465B0"/>
                <w:sz w:val="22"/>
              </w:rPr>
              <w:t>63</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left"/>
              <w:rPr/>
            </w:pPr>
            <w:hyperlink w:anchor="general_information">
              <w:r>
                <w:rPr>
                  <w:rStyle w:val="InternetLink"/>
                  <w:rFonts w:ascii="Outfit;sans-serif" w:hAnsi="Outfit;sans-serif"/>
                  <w:b/>
                  <w:color w:val="3465B0"/>
                  <w:sz w:val="24"/>
                  <w:u w:val="single"/>
                </w:rPr>
                <w:t>General Information About the Annual Meeting</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center"/>
              <w:rPr>
                <w:rFonts w:ascii="Outfit;sans-serif" w:hAnsi="Outfit;sans-serif"/>
                <w:b/>
                <w:color w:val="3465B0"/>
                <w:sz w:val="22"/>
              </w:rPr>
            </w:pPr>
            <w:r>
              <w:rPr>
                <w:rFonts w:ascii="Outfit;sans-serif" w:hAnsi="Outfit;sans-serif"/>
                <w:b/>
                <w:color w:val="3465B0"/>
                <w:sz w:val="22"/>
              </w:rPr>
              <w:t>66</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left"/>
              <w:rPr/>
            </w:pPr>
            <w:hyperlink w:anchor="additional_information">
              <w:r>
                <w:rPr>
                  <w:rStyle w:val="InternetLink"/>
                  <w:rFonts w:ascii="Outfit;sans-serif" w:hAnsi="Outfit;sans-serif"/>
                  <w:b/>
                  <w:color w:val="3465B0"/>
                  <w:sz w:val="24"/>
                  <w:u w:val="single"/>
                </w:rPr>
                <w:t>Additional Information</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center"/>
              <w:rPr>
                <w:rFonts w:ascii="Outfit;sans-serif" w:hAnsi="Outfit;sans-serif"/>
                <w:b/>
                <w:color w:val="3465B0"/>
                <w:sz w:val="22"/>
              </w:rPr>
            </w:pPr>
            <w:r>
              <w:rPr>
                <w:rFonts w:ascii="Outfit;sans-serif" w:hAnsi="Outfit;sans-serif"/>
                <w:b/>
                <w:color w:val="3465B0"/>
                <w:sz w:val="22"/>
              </w:rPr>
              <w:t>71</w:t>
            </w:r>
          </w:p>
        </w:tc>
      </w:tr>
      <w:tr>
        <w:trPr/>
        <w:tc>
          <w:tcPr>
            <w:tcW w:w="9414" w:type="dxa"/>
            <w:tcBorders/>
            <w:tcMar>
              <w:top w:w="0" w:type="dxa"/>
              <w:left w:w="0" w:type="dxa"/>
              <w:bottom w:w="0" w:type="dxa"/>
              <w:right w:w="0" w:type="dxa"/>
            </w:tcMar>
            <w:vAlign w:val="center"/>
          </w:tcPr>
          <w:p>
            <w:pPr>
              <w:pStyle w:val="TableContents"/>
              <w:bidi w:val="0"/>
              <w:spacing w:before="0" w:after="283"/>
              <w:ind w:left="0" w:right="0" w:firstLine="340"/>
              <w:jc w:val="left"/>
              <w:rPr/>
            </w:pPr>
            <w:hyperlink w:anchor="certain_relationships_and_related_party">
              <w:r>
                <w:rPr>
                  <w:rStyle w:val="InternetLink"/>
                  <w:rFonts w:ascii="Outfit;sans-serif" w:hAnsi="Outfit;sans-serif"/>
                  <w:color w:val="00002D"/>
                  <w:sz w:val="22"/>
                  <w:u w:val="single"/>
                </w:rPr>
                <w:t>Certain Relationships and Related Party Transactions</w:t>
              </w:r>
            </w:hyperlink>
          </w:p>
        </w:tc>
        <w:tc>
          <w:tcPr>
            <w:tcW w:w="791" w:type="dxa"/>
            <w:tcBorders/>
            <w:tcMar>
              <w:top w:w="0" w:type="dxa"/>
              <w:left w:w="0" w:type="dxa"/>
              <w:bottom w:w="0" w:type="dxa"/>
              <w:right w:w="0" w:type="dxa"/>
            </w:tcMar>
            <w:vAlign w:val="center"/>
          </w:tcPr>
          <w:p>
            <w:pPr>
              <w:pStyle w:val="TableContents"/>
              <w:bidi w:val="0"/>
              <w:spacing w:before="0" w:after="283"/>
              <w:ind w:left="0" w:right="0" w:firstLine="340"/>
              <w:jc w:val="center"/>
              <w:rPr>
                <w:rFonts w:ascii="Outfit;sans-serif" w:hAnsi="Outfit;sans-serif"/>
                <w:color w:val="000000"/>
                <w:sz w:val="22"/>
              </w:rPr>
            </w:pPr>
            <w:r>
              <w:rPr>
                <w:rFonts w:ascii="Outfit;sans-serif" w:hAnsi="Outfit;sans-serif"/>
                <w:color w:val="000000"/>
                <w:sz w:val="22"/>
              </w:rPr>
              <w:t>71</w:t>
            </w:r>
          </w:p>
        </w:tc>
      </w:tr>
      <w:tr>
        <w:trPr/>
        <w:tc>
          <w:tcPr>
            <w:tcW w:w="9414" w:type="dxa"/>
            <w:tcBorders/>
            <w:tcMar>
              <w:top w:w="0" w:type="dxa"/>
              <w:left w:w="0" w:type="dxa"/>
              <w:bottom w:w="0" w:type="dxa"/>
              <w:right w:w="0" w:type="dxa"/>
            </w:tcMar>
            <w:vAlign w:val="center"/>
          </w:tcPr>
          <w:p>
            <w:pPr>
              <w:pStyle w:val="TableContents"/>
              <w:bidi w:val="0"/>
              <w:spacing w:before="0" w:after="283"/>
              <w:ind w:left="0" w:right="0" w:firstLine="340"/>
              <w:jc w:val="left"/>
              <w:rPr/>
            </w:pPr>
            <w:hyperlink w:anchor="equity_compensation_plan_information">
              <w:r>
                <w:rPr>
                  <w:rStyle w:val="InternetLink"/>
                  <w:rFonts w:ascii="Outfit;sans-serif" w:hAnsi="Outfit;sans-serif"/>
                  <w:color w:val="00002D"/>
                  <w:sz w:val="22"/>
                  <w:u w:val="single"/>
                </w:rPr>
                <w:t>Equity Compensation Plan Information</w:t>
              </w:r>
            </w:hyperlink>
          </w:p>
        </w:tc>
        <w:tc>
          <w:tcPr>
            <w:tcW w:w="791" w:type="dxa"/>
            <w:tcBorders/>
            <w:tcMar>
              <w:top w:w="0" w:type="dxa"/>
              <w:left w:w="0" w:type="dxa"/>
              <w:bottom w:w="0" w:type="dxa"/>
              <w:right w:w="0" w:type="dxa"/>
            </w:tcMar>
            <w:vAlign w:val="center"/>
          </w:tcPr>
          <w:p>
            <w:pPr>
              <w:pStyle w:val="TableContents"/>
              <w:bidi w:val="0"/>
              <w:spacing w:before="0" w:after="283"/>
              <w:ind w:left="0" w:right="0" w:firstLine="340"/>
              <w:jc w:val="center"/>
              <w:rPr>
                <w:rFonts w:ascii="Outfit;sans-serif" w:hAnsi="Outfit;sans-serif"/>
                <w:color w:val="000000"/>
                <w:sz w:val="22"/>
              </w:rPr>
            </w:pPr>
            <w:r>
              <w:rPr>
                <w:rFonts w:ascii="Outfit;sans-serif" w:hAnsi="Outfit;sans-serif"/>
                <w:color w:val="000000"/>
                <w:sz w:val="22"/>
              </w:rPr>
              <w:t>72</w:t>
            </w:r>
          </w:p>
        </w:tc>
      </w:tr>
      <w:tr>
        <w:trPr/>
        <w:tc>
          <w:tcPr>
            <w:tcW w:w="9414" w:type="dxa"/>
            <w:tcBorders/>
            <w:tcMar>
              <w:top w:w="0" w:type="dxa"/>
              <w:left w:w="0" w:type="dxa"/>
              <w:bottom w:w="0" w:type="dxa"/>
              <w:right w:w="0" w:type="dxa"/>
            </w:tcMar>
            <w:vAlign w:val="center"/>
          </w:tcPr>
          <w:p>
            <w:pPr>
              <w:pStyle w:val="TableContents"/>
              <w:bidi w:val="0"/>
              <w:spacing w:before="0" w:after="283"/>
              <w:ind w:left="0" w:right="0" w:firstLine="340"/>
              <w:jc w:val="left"/>
              <w:rPr/>
            </w:pPr>
            <w:hyperlink w:anchor="miscellaneous">
              <w:r>
                <w:rPr>
                  <w:rStyle w:val="InternetLink"/>
                  <w:rFonts w:ascii="Outfit;sans-serif" w:hAnsi="Outfit;sans-serif"/>
                  <w:color w:val="00002D"/>
                  <w:sz w:val="22"/>
                  <w:u w:val="single"/>
                </w:rPr>
                <w:t>Miscellaneous</w:t>
              </w:r>
            </w:hyperlink>
          </w:p>
        </w:tc>
        <w:tc>
          <w:tcPr>
            <w:tcW w:w="791" w:type="dxa"/>
            <w:tcBorders/>
            <w:tcMar>
              <w:top w:w="0" w:type="dxa"/>
              <w:left w:w="0" w:type="dxa"/>
              <w:bottom w:w="0" w:type="dxa"/>
              <w:right w:w="0" w:type="dxa"/>
            </w:tcMar>
            <w:vAlign w:val="center"/>
          </w:tcPr>
          <w:p>
            <w:pPr>
              <w:pStyle w:val="TableContents"/>
              <w:bidi w:val="0"/>
              <w:spacing w:before="0" w:after="283"/>
              <w:ind w:left="0" w:right="0" w:firstLine="340"/>
              <w:jc w:val="center"/>
              <w:rPr>
                <w:rFonts w:ascii="Outfit;sans-serif" w:hAnsi="Outfit;sans-serif"/>
                <w:color w:val="000000"/>
                <w:sz w:val="22"/>
              </w:rPr>
            </w:pPr>
            <w:r>
              <w:rPr>
                <w:rFonts w:ascii="Outfit;sans-serif" w:hAnsi="Outfit;sans-serif"/>
                <w:color w:val="000000"/>
                <w:sz w:val="22"/>
              </w:rPr>
              <w:t>73</w:t>
            </w:r>
          </w:p>
        </w:tc>
      </w:tr>
      <w:tr>
        <w:trPr/>
        <w:tc>
          <w:tcPr>
            <w:tcW w:w="9414" w:type="dxa"/>
            <w:tcBorders>
              <w:bottom w:val="single" w:sz="8" w:space="0" w:color="D9E1EB"/>
            </w:tcBorders>
            <w:tcMar>
              <w:top w:w="0" w:type="dxa"/>
              <w:left w:w="0" w:type="dxa"/>
              <w:right w:w="0" w:type="dxa"/>
            </w:tcMar>
            <w:vAlign w:val="center"/>
          </w:tcPr>
          <w:p>
            <w:pPr>
              <w:pStyle w:val="TableContents"/>
              <w:bidi w:val="0"/>
              <w:spacing w:before="120" w:after="283"/>
              <w:ind w:left="0" w:right="0" w:firstLine="340"/>
              <w:jc w:val="left"/>
              <w:rPr/>
            </w:pPr>
            <w:hyperlink w:anchor="appendix_a">
              <w:r>
                <w:rPr>
                  <w:rStyle w:val="InternetLink"/>
                  <w:rFonts w:ascii="Outfit;sans-serif" w:hAnsi="Outfit;sans-serif"/>
                  <w:b/>
                  <w:color w:val="3465B0"/>
                  <w:sz w:val="24"/>
                  <w:u w:val="single"/>
                </w:rPr>
                <w:t>Appendix A – Key Business Metrics</w:t>
              </w:r>
            </w:hyperlink>
          </w:p>
        </w:tc>
        <w:tc>
          <w:tcPr>
            <w:tcW w:w="791" w:type="dxa"/>
            <w:tcBorders>
              <w:bottom w:val="single" w:sz="8" w:space="0" w:color="D9E1EB"/>
            </w:tcBorders>
            <w:tcMar>
              <w:top w:w="0" w:type="dxa"/>
              <w:left w:w="0" w:type="dxa"/>
              <w:right w:w="0" w:type="dxa"/>
            </w:tcMar>
            <w:vAlign w:val="center"/>
          </w:tcPr>
          <w:p>
            <w:pPr>
              <w:pStyle w:val="TableContents"/>
              <w:bidi w:val="0"/>
              <w:spacing w:before="120" w:after="283"/>
              <w:jc w:val="center"/>
              <w:rPr>
                <w:rFonts w:ascii="Outfit;sans-serif" w:hAnsi="Outfit;sans-serif"/>
                <w:b/>
                <w:color w:val="3465B0"/>
                <w:sz w:val="24"/>
              </w:rPr>
            </w:pPr>
            <w:r>
              <w:rPr>
                <w:rFonts w:ascii="Outfit;sans-serif" w:hAnsi="Outfit;sans-serif"/>
                <w:b/>
                <w:color w:val="3465B0"/>
                <w:sz w:val="24"/>
              </w:rPr>
              <w:t>A-1</w:t>
            </w:r>
          </w:p>
        </w:tc>
      </w:tr>
    </w:tbl>
    <w:p>
      <w:pPr>
        <w:pStyle w:val="TextBody"/>
        <w:bidi w:val="0"/>
        <w:jc w:val="left"/>
        <w:rPr/>
      </w:pPr>
      <w:r>
        <w:rPr/>
        <w:t> </w:t>
      </w:r>
    </w:p>
    <w:p>
      <w:pPr>
        <w:pStyle w:val="Heading1"/>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center"/>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Proxy Summary</w:t>
            </w:r>
          </w:p>
          <w:p>
            <w:pPr>
              <w:pStyle w:val="Heading1"/>
              <w:bidi w:val="0"/>
              <w:spacing w:before="240" w:after="283"/>
              <w:jc w:val="center"/>
              <w:rPr/>
            </w:pPr>
            <w:r>
              <w:rPr/>
              <w:t> </w:t>
            </w:r>
          </w:p>
        </w:tc>
      </w:tr>
    </w:tbl>
    <w:p>
      <w:pPr>
        <w:pStyle w:val="TextBody"/>
        <w:bidi w:val="0"/>
        <w:jc w:val="left"/>
        <w:rPr/>
      </w:pPr>
      <w:r>
        <w:rPr/>
        <w:t> </w:t>
      </w:r>
    </w:p>
    <w:p>
      <w:pPr>
        <w:pStyle w:val="TextBody"/>
        <w:bidi w:val="0"/>
        <w:jc w:val="both"/>
        <w:rPr>
          <w:rFonts w:ascii="Outfit;sans-serif" w:hAnsi="Outfit;sans-serif"/>
          <w:i/>
          <w:color w:val="3565B0"/>
          <w:sz w:val="22"/>
        </w:rPr>
      </w:pPr>
      <w:bookmarkStart w:id="3" w:name="proxy_summary"/>
      <w:bookmarkEnd w:id="3"/>
      <w:r>
        <w:rPr>
          <w:rFonts w:ascii="Outfit;sans-serif" w:hAnsi="Outfit;sans-serif"/>
          <w:i/>
          <w:color w:val="3565B0"/>
          <w:sz w:val="22"/>
        </w:rPr>
        <w:t>This summary highlights important information you will find in this proxy statement. As it is only a summary, please review the complete proxy statement before you vote.</w:t>
      </w:r>
    </w:p>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Who We Are</w:t>
      </w:r>
    </w:p>
    <w:p>
      <w:pPr>
        <w:pStyle w:val="TextBody"/>
        <w:bidi w:val="0"/>
        <w:spacing w:before="0" w:after="120"/>
        <w:jc w:val="both"/>
        <w:rPr>
          <w:rFonts w:ascii="Times New Roman" w:hAnsi="Times New Roman"/>
          <w:sz w:val="20"/>
        </w:rPr>
      </w:pPr>
      <w:r>
        <w:rPr>
          <w:rFonts w:ascii="Outfit;sans-serif" w:hAnsi="Outfit;sans-serif"/>
          <w:color w:val="00002D"/>
          <w:sz w:val="22"/>
        </w:rPr>
        <w:t>We are a multinational automotive platform helping consumers and dealers confidently buy and sell vehicles. Founded in 2006 with a mission to bring more trust and transparency to car shopping, we are the No. 1 visited automotive shopping site in the U.S.</w:t>
      </w:r>
      <w:r>
        <w:rPr>
          <w:rFonts w:ascii="Outfit;sans-serif" w:hAnsi="Outfit;sans-serif"/>
          <w:color w:val="00002D"/>
          <w:sz w:val="15"/>
        </w:rPr>
        <w:t>(1)</w:t>
      </w:r>
      <w:r>
        <w:rPr>
          <w:rFonts w:ascii="Times New Roman" w:hAnsi="Times New Roman"/>
          <w:color w:val="00002D"/>
          <w:sz w:val="20"/>
        </w:rPr>
        <w:t xml:space="preserve"> </w:t>
      </w:r>
      <w:r>
        <w:rPr>
          <w:rFonts w:ascii="Outfit;sans-serif" w:hAnsi="Outfit;sans-serif"/>
          <w:color w:val="00002D"/>
          <w:sz w:val="22"/>
        </w:rPr>
        <w:t>with the largest selection of inventory and network of dealers</w:t>
      </w:r>
      <w:r>
        <w:rPr>
          <w:rFonts w:ascii="Outfit;sans-serif" w:hAnsi="Outfit;sans-serif"/>
          <w:color w:val="00002D"/>
          <w:sz w:val="15"/>
        </w:rPr>
        <w:t>(2)</w:t>
      </w:r>
      <w:r>
        <w:rPr>
          <w:rFonts w:ascii="Outfit;sans-serif" w:hAnsi="Outfit;sans-serif"/>
          <w:color w:val="00002D"/>
          <w:sz w:val="22"/>
        </w:rPr>
        <w:t>. Our selection, trusted automotive insights, and data-driven products and solutions support each shopper’s journey – from online research and shopping to in-dealership decisions – to empower them at every step. We provide dealers a personalized, predictive intelligence platform with software solutions that help them run their businesses more efficiently and profitably at all stages of inventory acquisition and pricing, marketing, and conversion to sale.</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operate the following marketplaces:</w:t>
      </w:r>
    </w:p>
    <w:tbl>
      <w:tblPr>
        <w:tblW w:w="7538" w:type="dxa"/>
        <w:jc w:val="left"/>
        <w:tblInd w:w="0" w:type="dxa"/>
        <w:tblLayout w:type="fixed"/>
        <w:tblCellMar>
          <w:top w:w="28" w:type="dxa"/>
          <w:left w:w="28" w:type="dxa"/>
          <w:bottom w:w="28" w:type="dxa"/>
          <w:right w:w="28" w:type="dxa"/>
        </w:tblCellMar>
      </w:tblPr>
      <w:tblGrid>
        <w:gridCol w:w="3016"/>
        <w:gridCol w:w="1931"/>
        <w:gridCol w:w="2591"/>
      </w:tblGrid>
      <w:tr>
        <w:trPr/>
        <w:tc>
          <w:tcPr>
            <w:tcW w:w="301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565B0"/>
                <w:sz w:val="22"/>
              </w:rPr>
            </w:pPr>
            <w:r>
              <w:rPr>
                <w:rFonts w:ascii="Outfit;sans-serif" w:hAnsi="Outfit;sans-serif"/>
                <w:b/>
                <w:color w:val="3565B0"/>
                <w:sz w:val="22"/>
              </w:rPr>
              <w:t>U.S., U.K., and Canada</w:t>
            </w:r>
          </w:p>
        </w:tc>
        <w:tc>
          <w:tcPr>
            <w:tcW w:w="193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565B0"/>
                <w:sz w:val="22"/>
              </w:rPr>
            </w:pPr>
            <w:r>
              <w:rPr>
                <w:rFonts w:ascii="Outfit;sans-serif" w:hAnsi="Outfit;sans-serif"/>
                <w:b/>
                <w:color w:val="3565B0"/>
                <w:sz w:val="22"/>
              </w:rPr>
              <w:t>U.S.</w:t>
            </w:r>
          </w:p>
        </w:tc>
        <w:tc>
          <w:tcPr>
            <w:tcW w:w="259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565B0"/>
                <w:sz w:val="22"/>
              </w:rPr>
            </w:pPr>
            <w:r>
              <w:rPr>
                <w:rFonts w:ascii="Outfit;sans-serif" w:hAnsi="Outfit;sans-serif"/>
                <w:b/>
                <w:color w:val="3565B0"/>
                <w:sz w:val="22"/>
              </w:rPr>
              <w:t>U.K.</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219200" cy="200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 cy="200025"/>
                          </a:xfrm>
                          <a:prstGeom prst="rect">
                            <a:avLst/>
                          </a:prstGeom>
                        </pic:spPr>
                      </pic:pic>
                    </a:graphicData>
                  </a:graphic>
                </wp:inline>
              </w:drawing>
            </w:r>
          </w:p>
        </w:tc>
        <w:tc>
          <w:tcPr>
            <w:tcW w:w="193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71575" cy="22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71575" cy="228600"/>
                          </a:xfrm>
                          <a:prstGeom prst="rect">
                            <a:avLst/>
                          </a:prstGeom>
                        </pic:spPr>
                      </pic:pic>
                    </a:graphicData>
                  </a:graphic>
                </wp:inline>
              </w:drawing>
            </w:r>
          </w:p>
        </w:tc>
        <w:tc>
          <w:tcPr>
            <w:tcW w:w="259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62100" cy="21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62100" cy="219075"/>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sz w:val="20"/>
        </w:rPr>
      </w:pPr>
      <w:r>
        <w:rPr>
          <w:rFonts w:ascii="Outfit;sans-serif" w:hAnsi="Outfit;sans-serif"/>
          <w:i/>
          <w:color w:val="000000"/>
          <w:sz w:val="9"/>
        </w:rPr>
        <w:t>(1)</w:t>
      </w:r>
      <w:r>
        <w:rPr>
          <w:rFonts w:ascii="Outfit;sans-serif" w:hAnsi="Outfit;sans-serif"/>
          <w:i/>
          <w:color w:val="000000"/>
          <w:sz w:val="13"/>
        </w:rPr>
        <w:t>Similarweb: Traffic Insights (Cars.com, Autotrader.com, TrueCar.com, CARFAX.com Listings (defined as CARFAX.com Total Visits minus Vehicle History Reports)), Q4 2025, U.S.</w:t>
      </w:r>
    </w:p>
    <w:p>
      <w:pPr>
        <w:pStyle w:val="TextBody"/>
        <w:bidi w:val="0"/>
        <w:jc w:val="left"/>
        <w:rPr>
          <w:rFonts w:ascii="Times New Roman" w:hAnsi="Times New Roman"/>
          <w:sz w:val="20"/>
        </w:rPr>
      </w:pPr>
      <w:r>
        <w:rPr>
          <w:rFonts w:ascii="Outfit;sans-serif" w:hAnsi="Outfit;sans-serif"/>
          <w:i/>
          <w:color w:val="000000"/>
          <w:sz w:val="9"/>
        </w:rPr>
        <w:t xml:space="preserve">(2) </w:t>
      </w:r>
      <w:r>
        <w:rPr>
          <w:rFonts w:ascii="Outfit;sans-serif" w:hAnsi="Outfit;sans-serif"/>
          <w:i/>
          <w:color w:val="000000"/>
          <w:sz w:val="13"/>
        </w:rPr>
        <w:t>Compared to Autotrader.com, Cars.com, TrueCar.com, and CARFAX.com (Joreca as of December 31, 2025)</w:t>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Through our platform’s evolution, our ultimate goal remains the same: to empower our customers by giving them all the technology and information they need to buy or sell any car, anywhere, at the right price, and in the right way for them. At CarGurus, we give people the power to reach their destination.</w:t>
      </w:r>
    </w:p>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Key Performance Indicators and Financial Metrics</w:t>
      </w:r>
    </w:p>
    <w:tbl>
      <w:tblPr>
        <w:tblW w:w="8605" w:type="dxa"/>
        <w:jc w:val="left"/>
        <w:tblInd w:w="0" w:type="dxa"/>
        <w:tblLayout w:type="fixed"/>
        <w:tblCellMar>
          <w:top w:w="28" w:type="dxa"/>
          <w:left w:w="28" w:type="dxa"/>
          <w:bottom w:w="28" w:type="dxa"/>
          <w:right w:w="28" w:type="dxa"/>
        </w:tblCellMar>
      </w:tblPr>
      <w:tblGrid>
        <w:gridCol w:w="2746"/>
        <w:gridCol w:w="146"/>
        <w:gridCol w:w="2221"/>
        <w:gridCol w:w="146"/>
        <w:gridCol w:w="3346"/>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Global Average </w:t>
              <w:br/>
              <w:t>Monthly Unique Users</w:t>
            </w:r>
            <w:r>
              <w:rPr>
                <w:rFonts w:ascii="Outfit;sans-serif" w:hAnsi="Outfit;sans-serif"/>
                <w:b/>
                <w:color w:val="000000"/>
                <w:sz w:val="13"/>
              </w:rPr>
              <w:t>(1)</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41.4M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Global Average </w:t>
              <w:br/>
              <w:t>Monthly Sessions</w:t>
            </w:r>
            <w:r>
              <w:rPr>
                <w:rFonts w:ascii="Outfit;sans-serif" w:hAnsi="Outfit;sans-serif"/>
                <w:b/>
                <w:color w:val="000000"/>
                <w:sz w:val="13"/>
              </w:rPr>
              <w:t>(2)</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97.7M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4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Global </w:t>
              <w:br/>
              <w:t>Paying Dealers</w:t>
            </w:r>
            <w:r>
              <w:rPr>
                <w:rFonts w:ascii="Outfit;sans-serif" w:hAnsi="Outfit;sans-serif"/>
                <w:b/>
                <w:color w:val="000000"/>
                <w:sz w:val="13"/>
              </w:rPr>
              <w:t>(3)</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34,409</w:t>
            </w:r>
          </w:p>
        </w:tc>
      </w:tr>
      <w:tr>
        <w:trPr/>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22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34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74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U.S. Average </w:t>
              <w:br/>
              <w:t>Monthly Unique Users</w:t>
            </w:r>
            <w:r>
              <w:rPr>
                <w:rFonts w:ascii="Outfit;sans-serif" w:hAnsi="Outfit;sans-serif"/>
                <w:b/>
                <w:color w:val="000000"/>
                <w:sz w:val="13"/>
              </w:rPr>
              <w:t>(1)</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32.5M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U.S. Average </w:t>
              <w:br/>
              <w:t>Monthly Sessions</w:t>
            </w:r>
            <w:r>
              <w:rPr>
                <w:rFonts w:ascii="Outfit;sans-serif" w:hAnsi="Outfit;sans-serif"/>
                <w:b/>
                <w:color w:val="000000"/>
                <w:sz w:val="13"/>
              </w:rPr>
              <w:t>(2)</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79.5M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4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U.S. </w:t>
              <w:br/>
              <w:t>Paying Dealers</w:t>
            </w:r>
            <w:r>
              <w:rPr>
                <w:rFonts w:ascii="Outfit;sans-serif" w:hAnsi="Outfit;sans-serif"/>
                <w:b/>
                <w:color w:val="000000"/>
                <w:sz w:val="13"/>
              </w:rPr>
              <w:t>(3)</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26,049</w:t>
            </w:r>
          </w:p>
        </w:tc>
      </w:tr>
      <w:tr>
        <w:trPr/>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Consolidated QARSD</w:t>
            </w:r>
            <w:r>
              <w:rPr>
                <w:rFonts w:ascii="Outfit;sans-serif" w:hAnsi="Outfit;sans-serif"/>
                <w:b/>
                <w:color w:val="000000"/>
                <w:sz w:val="13"/>
              </w:rPr>
              <w:t>(4)</w:t>
            </w:r>
          </w:p>
          <w:p>
            <w:pPr>
              <w:pStyle w:val="TableContents"/>
              <w:bidi w:val="0"/>
              <w:spacing w:before="360" w:after="283"/>
              <w:jc w:val="center"/>
              <w:rPr>
                <w:rFonts w:ascii="Outfit;sans-serif" w:hAnsi="Outfit;sans-serif"/>
                <w:b/>
                <w:color w:val="3465B0"/>
                <w:sz w:val="48"/>
              </w:rPr>
            </w:pPr>
            <w:r>
              <w:rPr>
                <w:rFonts w:ascii="Outfit;sans-serif" w:hAnsi="Outfit;sans-serif"/>
                <w:b/>
                <w:color w:val="3465B0"/>
                <w:sz w:val="48"/>
              </w:rPr>
              <w:t>$6,616</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22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U.S. QARSD</w:t>
            </w:r>
            <w:r>
              <w:rPr>
                <w:rFonts w:ascii="Outfit;sans-serif" w:hAnsi="Outfit;sans-serif"/>
                <w:b/>
                <w:color w:val="000000"/>
                <w:sz w:val="13"/>
              </w:rPr>
              <w:t>(4)</w:t>
            </w:r>
          </w:p>
          <w:p>
            <w:pPr>
              <w:pStyle w:val="TableContents"/>
              <w:bidi w:val="0"/>
              <w:spacing w:before="360" w:after="283"/>
              <w:jc w:val="center"/>
              <w:rPr>
                <w:rFonts w:ascii="Outfit;sans-serif" w:hAnsi="Outfit;sans-serif"/>
                <w:b/>
                <w:color w:val="3465B0"/>
                <w:sz w:val="48"/>
              </w:rPr>
            </w:pPr>
            <w:r>
              <w:rPr>
                <w:rFonts w:ascii="Outfit;sans-serif" w:hAnsi="Outfit;sans-serif"/>
                <w:b/>
                <w:color w:val="3465B0"/>
                <w:sz w:val="48"/>
              </w:rPr>
              <w:t>$7,938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4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00"/>
                <w:sz w:val="20"/>
              </w:rPr>
              <w:t xml:space="preserve">2025 Revenue </w:t>
              <w:br/>
              <w:t>from continuing operations</w:t>
            </w:r>
            <w:r>
              <w:rPr>
                <w:rFonts w:ascii="Outfit;sans-serif" w:hAnsi="Outfit;sans-serif"/>
                <w:b/>
                <w:color w:val="000000"/>
                <w:sz w:val="13"/>
              </w:rPr>
              <w:t>(5)</w:t>
            </w:r>
          </w:p>
          <w:p>
            <w:pPr>
              <w:pStyle w:val="TableContents"/>
              <w:bidi w:val="0"/>
              <w:spacing w:before="120" w:after="283"/>
              <w:jc w:val="center"/>
              <w:rPr>
                <w:rFonts w:ascii="Outfit;sans-serif" w:hAnsi="Outfit;sans-serif"/>
                <w:b/>
                <w:color w:val="3465B0"/>
                <w:sz w:val="48"/>
              </w:rPr>
            </w:pPr>
            <w:r>
              <w:rPr>
                <w:rFonts w:ascii="Outfit;sans-serif" w:hAnsi="Outfit;sans-serif"/>
                <w:b/>
                <w:color w:val="3465B0"/>
                <w:sz w:val="48"/>
              </w:rPr>
              <w:t>$907.0M</w:t>
            </w:r>
          </w:p>
        </w:tc>
      </w:tr>
    </w:tbl>
    <w:p>
      <w:pPr>
        <w:pStyle w:val="TextBody"/>
        <w:bidi w:val="0"/>
        <w:jc w:val="both"/>
        <w:rPr/>
      </w:pPr>
      <w:r>
        <w:rPr/>
        <w:t> </w:t>
      </w:r>
    </w:p>
    <w:p>
      <w:pPr>
        <w:pStyle w:val="TextBody"/>
        <w:bidi w:val="0"/>
        <w:spacing w:before="0" w:after="0"/>
        <w:jc w:val="both"/>
        <w:rPr>
          <w:rFonts w:ascii="Outfit" w:hAnsi="Outfit"/>
          <w:color w:val="00002D"/>
          <w:sz w:val="15"/>
        </w:rPr>
      </w:pPr>
      <w:r>
        <w:rPr>
          <w:rFonts w:ascii="Outfit" w:hAnsi="Outfit"/>
          <w:color w:val="00002D"/>
          <w:sz w:val="15"/>
        </w:rPr>
        <w:t>(1)</w:t>
      </w:r>
    </w:p>
    <w:p>
      <w:pPr>
        <w:pStyle w:val="TextBody"/>
        <w:bidi w:val="0"/>
        <w:spacing w:before="0" w:after="0"/>
        <w:jc w:val="both"/>
        <w:rPr>
          <w:rFonts w:ascii="Outfit;sans-serif" w:hAnsi="Outfit;sans-serif"/>
          <w:color w:val="00002D"/>
          <w:sz w:val="15"/>
        </w:rPr>
      </w:pPr>
      <w:r>
        <w:rPr>
          <w:rFonts w:ascii="Outfit;sans-serif" w:hAnsi="Outfit;sans-serif"/>
          <w:color w:val="00002D"/>
          <w:sz w:val="15"/>
        </w:rPr>
        <w:t>As of the three months ended December 31, 2025, represents monthly average for the fourth quarter of 2025. Please see Appendix A for a definition of Average Monthly Unique Users.</w:t>
      </w:r>
    </w:p>
    <w:p>
      <w:pPr>
        <w:pStyle w:val="TextBody"/>
        <w:bidi w:val="0"/>
        <w:spacing w:before="0" w:after="0"/>
        <w:jc w:val="both"/>
        <w:rPr>
          <w:rFonts w:ascii="Outfit" w:hAnsi="Outfit"/>
          <w:color w:val="00002D"/>
          <w:sz w:val="15"/>
        </w:rPr>
      </w:pPr>
      <w:r>
        <w:rPr>
          <w:rFonts w:ascii="Outfit" w:hAnsi="Outfit"/>
          <w:color w:val="00002D"/>
          <w:sz w:val="15"/>
        </w:rPr>
        <w:t>(2)</w:t>
      </w:r>
    </w:p>
    <w:p>
      <w:pPr>
        <w:pStyle w:val="TextBody"/>
        <w:bidi w:val="0"/>
        <w:spacing w:before="0" w:after="0"/>
        <w:jc w:val="both"/>
        <w:rPr>
          <w:rFonts w:ascii="Outfit;sans-serif" w:hAnsi="Outfit;sans-serif"/>
          <w:color w:val="00002D"/>
          <w:sz w:val="15"/>
        </w:rPr>
      </w:pPr>
      <w:r>
        <w:rPr>
          <w:rFonts w:ascii="Outfit;sans-serif" w:hAnsi="Outfit;sans-serif"/>
          <w:color w:val="00002D"/>
          <w:sz w:val="15"/>
        </w:rPr>
        <w:t>As of the three months ended December 31, 2025, represents monthly average for the fourth quarter of 2025. Please see Appendix A for a definition of Average Monthly Sessions.</w:t>
      </w:r>
    </w:p>
    <w:p>
      <w:pPr>
        <w:pStyle w:val="TextBody"/>
        <w:bidi w:val="0"/>
        <w:spacing w:before="0" w:after="0"/>
        <w:jc w:val="both"/>
        <w:rPr>
          <w:rFonts w:ascii="Outfit" w:hAnsi="Outfit"/>
          <w:color w:val="00002D"/>
          <w:sz w:val="15"/>
        </w:rPr>
      </w:pPr>
      <w:r>
        <w:rPr>
          <w:rFonts w:ascii="Outfit" w:hAnsi="Outfit"/>
          <w:color w:val="00002D"/>
          <w:sz w:val="15"/>
        </w:rPr>
        <w:t>(3)</w:t>
      </w:r>
    </w:p>
    <w:p>
      <w:pPr>
        <w:pStyle w:val="TextBody"/>
        <w:bidi w:val="0"/>
        <w:spacing w:before="0" w:after="0"/>
        <w:jc w:val="both"/>
        <w:rPr>
          <w:rFonts w:ascii="Outfit;sans-serif" w:hAnsi="Outfit;sans-serif"/>
          <w:color w:val="00002D"/>
          <w:sz w:val="15"/>
        </w:rPr>
      </w:pPr>
      <w:r>
        <w:rPr>
          <w:rFonts w:ascii="Outfit;sans-serif" w:hAnsi="Outfit;sans-serif"/>
          <w:color w:val="00002D"/>
          <w:sz w:val="15"/>
        </w:rPr>
        <w:t>As of December 31, 2025. Please see Appendix A for a definition of Paying Dealers.</w:t>
      </w:r>
    </w:p>
    <w:p>
      <w:pPr>
        <w:pStyle w:val="TextBody"/>
        <w:bidi w:val="0"/>
        <w:spacing w:before="0" w:after="0"/>
        <w:jc w:val="both"/>
        <w:rPr>
          <w:rFonts w:ascii="Outfit" w:hAnsi="Outfit"/>
          <w:color w:val="00002D"/>
          <w:sz w:val="15"/>
        </w:rPr>
      </w:pPr>
      <w:r>
        <w:rPr>
          <w:rFonts w:ascii="Outfit" w:hAnsi="Outfit"/>
          <w:color w:val="00002D"/>
          <w:sz w:val="15"/>
        </w:rPr>
        <w:t>(4)</w:t>
      </w:r>
    </w:p>
    <w:p>
      <w:pPr>
        <w:pStyle w:val="TextBody"/>
        <w:bidi w:val="0"/>
        <w:spacing w:before="0" w:after="0"/>
        <w:jc w:val="both"/>
        <w:rPr>
          <w:rFonts w:ascii="Outfit;sans-serif" w:hAnsi="Outfit;sans-serif"/>
          <w:color w:val="00002D"/>
          <w:sz w:val="15"/>
        </w:rPr>
      </w:pPr>
      <w:r>
        <w:rPr>
          <w:rFonts w:ascii="Outfit;sans-serif" w:hAnsi="Outfit;sans-serif"/>
          <w:color w:val="00002D"/>
          <w:sz w:val="15"/>
        </w:rPr>
        <w:t>Represents the quarterly average revenue per subscribing dealer (QARSD) for the three months ended December 31, 2025. Please see Appendix A for a definition of QARSD.</w:t>
      </w:r>
    </w:p>
    <w:p>
      <w:pPr>
        <w:pStyle w:val="TextBody"/>
        <w:bidi w:val="0"/>
        <w:spacing w:before="0" w:after="0"/>
        <w:jc w:val="both"/>
        <w:rPr>
          <w:rFonts w:ascii="Outfit" w:hAnsi="Outfit"/>
          <w:color w:val="00002D"/>
          <w:sz w:val="15"/>
        </w:rPr>
      </w:pPr>
      <w:r>
        <w:rPr>
          <w:rFonts w:ascii="Outfit" w:hAnsi="Outfit"/>
          <w:color w:val="00002D"/>
          <w:sz w:val="15"/>
        </w:rPr>
        <w:t>(5)</w:t>
      </w:r>
    </w:p>
    <w:p>
      <w:pPr>
        <w:pStyle w:val="TextBody"/>
        <w:bidi w:val="0"/>
        <w:jc w:val="both"/>
        <w:rPr>
          <w:rFonts w:ascii="Outfit;sans-serif" w:hAnsi="Outfit;sans-serif"/>
          <w:color w:val="00002D"/>
          <w:sz w:val="15"/>
        </w:rPr>
      </w:pPr>
      <w:r>
        <w:rPr>
          <w:rFonts w:ascii="Outfit;sans-serif" w:hAnsi="Outfit;sans-serif"/>
          <w:color w:val="00002D"/>
          <w:sz w:val="15"/>
        </w:rPr>
        <w:t>On August 6, 2025, our Board of Directors approved the wind-down of CarOffer, LLC (CarOffer), which was completed as of December 31, 2025. CarOffer’s results are reported as discontinued operations. Please see our Annual Report for additional information.</w:t>
      </w:r>
    </w:p>
    <w:p>
      <w:pPr>
        <w:pStyle w:val="TextBody"/>
        <w:bidi w:val="0"/>
        <w:jc w:val="center"/>
        <w:rPr>
          <w:rFonts w:ascii="Outfit;sans-serif" w:hAnsi="Outfit;sans-serif"/>
          <w:color w:val="000000"/>
          <w:sz w:val="22"/>
        </w:rPr>
      </w:pPr>
      <w:r>
        <w:rPr>
          <w:rFonts w:ascii="Outfit;sans-serif" w:hAnsi="Outfit;sans-serif"/>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center"/>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Proxy Summary</w:t>
            </w:r>
          </w:p>
          <w:p>
            <w:pPr>
              <w:pStyle w:val="Heading1"/>
              <w:bidi w:val="0"/>
              <w:spacing w:before="240" w:after="283"/>
              <w:jc w:val="center"/>
              <w:rPr/>
            </w:pPr>
            <w:r>
              <w:rPr/>
              <w:t> </w:t>
            </w:r>
          </w:p>
        </w:tc>
      </w:tr>
    </w:tbl>
    <w:p>
      <w:pPr>
        <w:pStyle w:val="TextBody"/>
        <w:bidi w:val="0"/>
        <w:jc w:val="left"/>
        <w:rPr/>
      </w:pPr>
      <w:r>
        <w:rPr/>
        <w:t> </w:t>
      </w:r>
    </w:p>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Meeting Details</w:t>
      </w:r>
    </w:p>
    <w:tbl>
      <w:tblPr>
        <w:tblW w:w="10205" w:type="dxa"/>
        <w:jc w:val="left"/>
        <w:tblInd w:w="0" w:type="dxa"/>
        <w:tblLayout w:type="fixed"/>
        <w:tblCellMar>
          <w:top w:w="28" w:type="dxa"/>
          <w:left w:w="28" w:type="dxa"/>
          <w:bottom w:w="28" w:type="dxa"/>
          <w:right w:w="28" w:type="dxa"/>
        </w:tblCellMar>
      </w:tblPr>
      <w:tblGrid>
        <w:gridCol w:w="923"/>
        <w:gridCol w:w="1451"/>
        <w:gridCol w:w="146"/>
        <w:gridCol w:w="1203"/>
        <w:gridCol w:w="1650"/>
        <w:gridCol w:w="146"/>
        <w:gridCol w:w="1621"/>
        <w:gridCol w:w="3065"/>
      </w:tblGrid>
      <w:tr>
        <w:trPr/>
        <w:tc>
          <w:tcPr>
            <w:tcW w:w="92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r>
      <w:tr>
        <w:trPr/>
        <w:tc>
          <w:tcPr>
            <w:tcW w:w="923"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495300" cy="495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95300" cy="495300"/>
                          </a:xfrm>
                          <a:prstGeom prst="rect">
                            <a:avLst/>
                          </a:prstGeom>
                        </pic:spPr>
                      </pic:pic>
                    </a:graphicData>
                  </a:graphic>
                </wp:inline>
              </w:drawing>
            </w:r>
          </w:p>
        </w:tc>
        <w:tc>
          <w:tcPr>
            <w:tcW w:w="1451" w:type="dxa"/>
            <w:tcBorders/>
            <w:tcMar>
              <w:top w:w="0" w:type="dxa"/>
              <w:left w:w="0" w:type="dxa"/>
              <w:bottom w:w="0" w:type="dxa"/>
              <w:right w:w="0" w:type="dxa"/>
            </w:tcMar>
            <w:vAlign w:val="center"/>
          </w:tcPr>
          <w:p>
            <w:pPr>
              <w:pStyle w:val="TableContents"/>
              <w:bidi w:val="0"/>
              <w:spacing w:before="240" w:after="283"/>
              <w:jc w:val="left"/>
              <w:rPr>
                <w:rFonts w:ascii="Outfit;sans-serif" w:hAnsi="Outfit;sans-serif"/>
                <w:b/>
                <w:color w:val="3465B0"/>
                <w:sz w:val="22"/>
              </w:rPr>
            </w:pPr>
            <w:r>
              <w:rPr>
                <w:rFonts w:ascii="Outfit;sans-serif" w:hAnsi="Outfit;sans-serif"/>
                <w:b/>
                <w:color w:val="3465B0"/>
                <w:sz w:val="22"/>
              </w:rPr>
              <w:t>Date and Time</w:t>
            </w:r>
          </w:p>
        </w:tc>
        <w:tc>
          <w:tcPr>
            <w:tcW w:w="146" w:type="dxa"/>
            <w:tcBorders/>
            <w:tcMar>
              <w:top w:w="0" w:type="dxa"/>
              <w:left w:w="0" w:type="dxa"/>
              <w:bottom w:w="0" w:type="dxa"/>
              <w:right w:w="0" w:type="dxa"/>
            </w:tcMar>
            <w:vAlign w:val="center"/>
          </w:tcPr>
          <w:p>
            <w:pPr>
              <w:pStyle w:val="TableContents"/>
              <w:bidi w:val="0"/>
              <w:spacing w:before="240" w:after="283"/>
              <w:jc w:val="both"/>
              <w:rPr/>
            </w:pPr>
            <w:r>
              <w:rPr/>
              <w:t> </w:t>
            </w:r>
          </w:p>
        </w:tc>
        <w:tc>
          <w:tcPr>
            <w:tcW w:w="1203"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495300" cy="495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95300" cy="495300"/>
                          </a:xfrm>
                          <a:prstGeom prst="rect">
                            <a:avLst/>
                          </a:prstGeom>
                        </pic:spPr>
                      </pic:pic>
                    </a:graphicData>
                  </a:graphic>
                </wp:inline>
              </w:drawing>
            </w:r>
          </w:p>
        </w:tc>
        <w:tc>
          <w:tcPr>
            <w:tcW w:w="1650" w:type="dxa"/>
            <w:tcBorders/>
            <w:tcMar>
              <w:top w:w="0" w:type="dxa"/>
              <w:left w:w="0" w:type="dxa"/>
              <w:bottom w:w="0" w:type="dxa"/>
              <w:right w:w="0" w:type="dxa"/>
            </w:tcMar>
            <w:vAlign w:val="center"/>
          </w:tcPr>
          <w:p>
            <w:pPr>
              <w:pStyle w:val="TableContents"/>
              <w:bidi w:val="0"/>
              <w:spacing w:before="240" w:after="283"/>
              <w:jc w:val="left"/>
              <w:rPr>
                <w:rFonts w:ascii="Outfit;sans-serif" w:hAnsi="Outfit;sans-serif"/>
                <w:b/>
                <w:color w:val="3465B0"/>
                <w:sz w:val="22"/>
              </w:rPr>
            </w:pPr>
            <w:r>
              <w:rPr>
                <w:rFonts w:ascii="Outfit;sans-serif" w:hAnsi="Outfit;sans-serif"/>
                <w:b/>
                <w:color w:val="3465B0"/>
                <w:sz w:val="22"/>
              </w:rPr>
              <w:t>Location</w:t>
            </w:r>
          </w:p>
        </w:tc>
        <w:tc>
          <w:tcPr>
            <w:tcW w:w="146" w:type="dxa"/>
            <w:tcBorders/>
            <w:tcMar>
              <w:top w:w="0" w:type="dxa"/>
              <w:left w:w="0" w:type="dxa"/>
              <w:bottom w:w="0" w:type="dxa"/>
              <w:right w:w="0" w:type="dxa"/>
            </w:tcMar>
            <w:vAlign w:val="center"/>
          </w:tcPr>
          <w:p>
            <w:pPr>
              <w:pStyle w:val="TableContents"/>
              <w:bidi w:val="0"/>
              <w:spacing w:before="240" w:after="283"/>
              <w:jc w:val="both"/>
              <w:rPr/>
            </w:pPr>
            <w:r>
              <w:rPr/>
              <w:t> </w:t>
            </w:r>
          </w:p>
        </w:tc>
        <w:tc>
          <w:tcPr>
            <w:tcW w:w="1621"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495300" cy="495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95300" cy="495300"/>
                          </a:xfrm>
                          <a:prstGeom prst="rect">
                            <a:avLst/>
                          </a:prstGeom>
                        </pic:spPr>
                      </pic:pic>
                    </a:graphicData>
                  </a:graphic>
                </wp:inline>
              </w:drawing>
            </w:r>
          </w:p>
        </w:tc>
        <w:tc>
          <w:tcPr>
            <w:tcW w:w="3065" w:type="dxa"/>
            <w:tcBorders/>
            <w:tcMar>
              <w:top w:w="0" w:type="dxa"/>
              <w:left w:w="0" w:type="dxa"/>
              <w:bottom w:w="0" w:type="dxa"/>
              <w:right w:w="0" w:type="dxa"/>
            </w:tcMar>
            <w:vAlign w:val="center"/>
          </w:tcPr>
          <w:p>
            <w:pPr>
              <w:pStyle w:val="TableContents"/>
              <w:bidi w:val="0"/>
              <w:spacing w:before="240" w:after="283"/>
              <w:jc w:val="left"/>
              <w:rPr>
                <w:rFonts w:ascii="Outfit;sans-serif" w:hAnsi="Outfit;sans-serif"/>
                <w:b/>
                <w:color w:val="3465B0"/>
                <w:sz w:val="22"/>
              </w:rPr>
            </w:pPr>
            <w:r>
              <w:rPr>
                <w:rFonts w:ascii="Outfit;sans-serif" w:hAnsi="Outfit;sans-serif"/>
                <w:b/>
                <w:color w:val="3465B0"/>
                <w:sz w:val="22"/>
              </w:rPr>
              <w:t>Who Can Vote</w:t>
            </w:r>
          </w:p>
        </w:tc>
      </w:tr>
      <w:tr>
        <w:trPr/>
        <w:tc>
          <w:tcPr>
            <w:tcW w:w="2374" w:type="dxa"/>
            <w:gridSpan w:val="2"/>
            <w:tcBorders/>
            <w:tcMar>
              <w:top w:w="0" w:type="dxa"/>
              <w:left w:w="0" w:type="dxa"/>
              <w:bottom w:w="0" w:type="dxa"/>
              <w:right w:w="0" w:type="dxa"/>
            </w:tcMar>
            <w:vAlign w:val="center"/>
          </w:tcPr>
          <w:p>
            <w:pPr>
              <w:pStyle w:val="TableContents"/>
              <w:bidi w:val="0"/>
              <w:spacing w:before="120" w:after="283"/>
              <w:jc w:val="center"/>
              <w:rPr>
                <w:rFonts w:ascii="Outfit;sans-serif" w:hAnsi="Outfit;sans-serif"/>
                <w:color w:val="000000"/>
                <w:sz w:val="22"/>
              </w:rPr>
            </w:pPr>
            <w:r>
              <w:rPr>
                <w:rFonts w:ascii="Outfit;sans-serif" w:hAnsi="Outfit;sans-serif"/>
                <w:color w:val="000000"/>
                <w:sz w:val="22"/>
              </w:rPr>
              <w:t>Wednesday, June 3, 2026</w:t>
            </w:r>
          </w:p>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2:00 p.m. Eastern Time</w:t>
            </w:r>
          </w:p>
        </w:tc>
        <w:tc>
          <w:tcPr>
            <w:tcW w:w="146" w:type="dxa"/>
            <w:tcBorders/>
            <w:tcMar>
              <w:top w:w="0" w:type="dxa"/>
              <w:left w:w="0" w:type="dxa"/>
              <w:bottom w:w="0" w:type="dxa"/>
              <w:right w:w="0" w:type="dxa"/>
            </w:tcMar>
            <w:vAlign w:val="center"/>
          </w:tcPr>
          <w:p>
            <w:pPr>
              <w:pStyle w:val="TableContents"/>
              <w:bidi w:val="0"/>
              <w:spacing w:before="120" w:after="283"/>
              <w:jc w:val="both"/>
              <w:rPr/>
            </w:pPr>
            <w:r>
              <w:rPr/>
              <w:t> </w:t>
            </w:r>
          </w:p>
        </w:tc>
        <w:tc>
          <w:tcPr>
            <w:tcW w:w="2853" w:type="dxa"/>
            <w:gridSpan w:val="2"/>
            <w:tcBorders/>
            <w:tcMar>
              <w:top w:w="0" w:type="dxa"/>
              <w:left w:w="0" w:type="dxa"/>
              <w:bottom w:w="0" w:type="dxa"/>
              <w:right w:w="0" w:type="dxa"/>
            </w:tcMar>
            <w:vAlign w:val="center"/>
          </w:tcPr>
          <w:p>
            <w:pPr>
              <w:pStyle w:val="TableContents"/>
              <w:bidi w:val="0"/>
              <w:spacing w:before="120" w:after="283"/>
              <w:jc w:val="center"/>
              <w:rPr>
                <w:rFonts w:ascii="Outfit;sans-serif" w:hAnsi="Outfit;sans-serif"/>
                <w:i/>
                <w:color w:val="000000"/>
                <w:sz w:val="22"/>
              </w:rPr>
            </w:pPr>
            <w:r>
              <w:rPr>
                <w:rFonts w:ascii="Outfit;sans-serif" w:hAnsi="Outfit;sans-serif"/>
                <w:i/>
                <w:color w:val="000000"/>
                <w:sz w:val="22"/>
              </w:rPr>
              <w:t>www.virtualshareholder</w:t>
              <w:br/>
              <w:t>meeting.com/CARG2026</w:t>
            </w:r>
          </w:p>
        </w:tc>
        <w:tc>
          <w:tcPr>
            <w:tcW w:w="146" w:type="dxa"/>
            <w:tcBorders/>
            <w:tcMar>
              <w:top w:w="0" w:type="dxa"/>
              <w:left w:w="0" w:type="dxa"/>
              <w:bottom w:w="0" w:type="dxa"/>
              <w:right w:w="0" w:type="dxa"/>
            </w:tcMar>
            <w:vAlign w:val="center"/>
          </w:tcPr>
          <w:p>
            <w:pPr>
              <w:pStyle w:val="TableContents"/>
              <w:bidi w:val="0"/>
              <w:spacing w:before="120" w:after="283"/>
              <w:jc w:val="both"/>
              <w:rPr/>
            </w:pPr>
            <w:r>
              <w:rPr/>
              <w:t> </w:t>
            </w:r>
          </w:p>
        </w:tc>
        <w:tc>
          <w:tcPr>
            <w:tcW w:w="4686" w:type="dxa"/>
            <w:gridSpan w:val="2"/>
            <w:tcBorders/>
            <w:tcMar>
              <w:top w:w="0" w:type="dxa"/>
              <w:left w:w="0" w:type="dxa"/>
              <w:bottom w:w="0" w:type="dxa"/>
              <w:right w:w="0" w:type="dxa"/>
            </w:tcMar>
            <w:vAlign w:val="center"/>
          </w:tcPr>
          <w:p>
            <w:pPr>
              <w:pStyle w:val="TableContents"/>
              <w:bidi w:val="0"/>
              <w:spacing w:before="120" w:after="283"/>
              <w:jc w:val="center"/>
              <w:rPr>
                <w:rFonts w:ascii="Outfit;sans-serif" w:hAnsi="Outfit;sans-serif"/>
                <w:color w:val="000000"/>
                <w:sz w:val="22"/>
              </w:rPr>
            </w:pPr>
            <w:r>
              <w:rPr>
                <w:rFonts w:ascii="Outfit;sans-serif" w:hAnsi="Outfit;sans-serif"/>
                <w:color w:val="000000"/>
                <w:sz w:val="22"/>
              </w:rPr>
              <w:t xml:space="preserve">Stockholders of record on our books at the close of business on </w:t>
              <w:br/>
              <w:t>April 10, 2026, the record date</w:t>
              <w:br/>
              <w:t>for the Annual Meeting</w:t>
            </w:r>
          </w:p>
        </w:tc>
      </w:tr>
    </w:tbl>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Voting Matters and Recommendations</w:t>
      </w:r>
    </w:p>
    <w:tbl>
      <w:tblPr>
        <w:tblW w:w="10205" w:type="dxa"/>
        <w:jc w:val="left"/>
        <w:tblInd w:w="0" w:type="dxa"/>
        <w:tblLayout w:type="fixed"/>
        <w:tblCellMar>
          <w:top w:w="28" w:type="dxa"/>
          <w:left w:w="28" w:type="dxa"/>
          <w:bottom w:w="28" w:type="dxa"/>
          <w:right w:w="28" w:type="dxa"/>
        </w:tblCellMar>
      </w:tblPr>
      <w:tblGrid>
        <w:gridCol w:w="271"/>
        <w:gridCol w:w="5204"/>
        <w:gridCol w:w="146"/>
        <w:gridCol w:w="2752"/>
        <w:gridCol w:w="146"/>
        <w:gridCol w:w="1686"/>
      </w:tblGrid>
      <w:tr>
        <w:trPr/>
        <w:tc>
          <w:tcPr>
            <w:tcW w:w="271" w:type="dxa"/>
            <w:tcBorders/>
            <w:vAlign w:val="center"/>
          </w:tcPr>
          <w:p>
            <w:pPr>
              <w:pStyle w:val="TableContents"/>
              <w:bidi w:val="0"/>
              <w:spacing w:before="0" w:after="283"/>
              <w:jc w:val="left"/>
              <w:rPr>
                <w:sz w:val="4"/>
                <w:szCs w:val="4"/>
              </w:rPr>
            </w:pPr>
            <w:r>
              <w:rPr>
                <w:sz w:val="4"/>
                <w:szCs w:val="4"/>
              </w:rPr>
            </w:r>
          </w:p>
        </w:tc>
        <w:tc>
          <w:tcPr>
            <w:tcW w:w="5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5475" w:type="dxa"/>
            <w:gridSpan w:val="2"/>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Proposals</w:t>
            </w:r>
          </w:p>
        </w:tc>
        <w:tc>
          <w:tcPr>
            <w:tcW w:w="146" w:type="dxa"/>
            <w:tcBorders/>
            <w:shd w:fill="E4F5FE" w:val="clear"/>
            <w:tcMar>
              <w:top w:w="0" w:type="dxa"/>
              <w:left w:w="0" w:type="dxa"/>
              <w:bottom w:w="0" w:type="dxa"/>
              <w:right w:w="0" w:type="dxa"/>
            </w:tcMar>
            <w:vAlign w:val="center"/>
          </w:tcPr>
          <w:p>
            <w:pPr>
              <w:pStyle w:val="TableContents"/>
              <w:bidi w:val="0"/>
              <w:spacing w:before="0" w:after="60"/>
              <w:jc w:val="center"/>
              <w:rPr/>
            </w:pPr>
            <w:r>
              <w:rPr/>
              <w:t> </w:t>
            </w:r>
          </w:p>
        </w:tc>
        <w:tc>
          <w:tcPr>
            <w:tcW w:w="2752" w:type="dxa"/>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Board’s Recommendation</w:t>
            </w:r>
          </w:p>
        </w:tc>
        <w:tc>
          <w:tcPr>
            <w:tcW w:w="146" w:type="dxa"/>
            <w:tcBorders/>
            <w:shd w:fill="E4F5FE" w:val="clear"/>
            <w:tcMar>
              <w:top w:w="0" w:type="dxa"/>
              <w:left w:w="0" w:type="dxa"/>
              <w:bottom w:w="0" w:type="dxa"/>
              <w:right w:w="0" w:type="dxa"/>
            </w:tcMar>
            <w:vAlign w:val="center"/>
          </w:tcPr>
          <w:p>
            <w:pPr>
              <w:pStyle w:val="TableContents"/>
              <w:bidi w:val="0"/>
              <w:spacing w:before="0" w:after="60"/>
              <w:jc w:val="center"/>
              <w:rPr/>
            </w:pPr>
            <w:r>
              <w:rPr/>
              <w:t> </w:t>
            </w:r>
          </w:p>
        </w:tc>
        <w:tc>
          <w:tcPr>
            <w:tcW w:w="1686" w:type="dxa"/>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Page Reference</w:t>
            </w:r>
          </w:p>
        </w:tc>
      </w:tr>
      <w:tr>
        <w:trPr/>
        <w:tc>
          <w:tcPr>
            <w:tcW w:w="271"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4"/>
              </w:rPr>
            </w:pPr>
            <w:r>
              <w:rPr>
                <w:rFonts w:ascii="Outfit;sans-serif" w:hAnsi="Outfit;sans-serif"/>
                <w:color w:val="000000"/>
                <w:sz w:val="24"/>
              </w:rPr>
              <w:t>1</w:t>
            </w:r>
          </w:p>
        </w:tc>
        <w:tc>
          <w:tcPr>
            <w:tcW w:w="5204" w:type="dxa"/>
            <w:tcBorders>
              <w:bottom w:val="single" w:sz="12" w:space="0" w:color="D9E1EB"/>
            </w:tcBorders>
            <w:tcMar>
              <w:top w:w="0" w:type="dxa"/>
              <w:left w:w="0" w:type="dxa"/>
              <w:right w:w="0" w:type="dxa"/>
            </w:tcMar>
            <w:vAlign w:val="center"/>
          </w:tcPr>
          <w:p>
            <w:pPr>
              <w:pStyle w:val="TableContents"/>
              <w:bidi w:val="0"/>
              <w:spacing w:before="0" w:after="60"/>
              <w:jc w:val="both"/>
              <w:rPr>
                <w:rFonts w:ascii="Outfit;sans-serif" w:hAnsi="Outfit;sans-serif"/>
                <w:color w:val="000000"/>
                <w:sz w:val="22"/>
              </w:rPr>
            </w:pPr>
            <w:r>
              <w:rPr>
                <w:rFonts w:ascii="Outfit;sans-serif" w:hAnsi="Outfit;sans-serif"/>
                <w:color w:val="000000"/>
                <w:sz w:val="22"/>
              </w:rPr>
              <w:t>Election of the two nominees named in this proxy statement as Class III directors</w:t>
            </w:r>
          </w:p>
        </w:tc>
        <w:tc>
          <w:tcPr>
            <w:tcW w:w="146" w:type="dxa"/>
            <w:tcBorders>
              <w:bottom w:val="single" w:sz="12" w:space="0" w:color="D9E1EB"/>
            </w:tcBorders>
            <w:tcMar>
              <w:top w:w="0" w:type="dxa"/>
              <w:left w:w="0" w:type="dxa"/>
              <w:right w:w="0" w:type="dxa"/>
            </w:tcMar>
            <w:vAlign w:val="center"/>
          </w:tcPr>
          <w:p>
            <w:pPr>
              <w:pStyle w:val="TableContents"/>
              <w:bidi w:val="0"/>
              <w:spacing w:before="0" w:after="60"/>
              <w:jc w:val="center"/>
              <w:rPr/>
            </w:pPr>
            <w:r>
              <w:rPr/>
              <w:t> </w:t>
            </w:r>
          </w:p>
        </w:tc>
        <w:tc>
          <w:tcPr>
            <w:tcW w:w="2752"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Times New Roman" w:hAnsi="Times New Roman"/>
                <w:sz w:val="22"/>
              </w:rPr>
            </w:pPr>
            <w:r>
              <w:rPr>
                <w:rFonts w:ascii="Outfit;sans-serif" w:hAnsi="Outfit;sans-serif"/>
                <w:color w:val="3465B0"/>
                <w:sz w:val="22"/>
              </w:rPr>
              <w:t>FOR</w:t>
            </w:r>
            <w:r>
              <w:rPr>
                <w:rFonts w:ascii="Times New Roman" w:hAnsi="Times New Roman"/>
                <w:color w:val="000000"/>
                <w:sz w:val="22"/>
              </w:rPr>
              <w:t> </w:t>
            </w:r>
            <w:r>
              <w:rPr>
                <w:rFonts w:ascii="Outfit;sans-serif" w:hAnsi="Outfit;sans-serif"/>
                <w:color w:val="000000"/>
                <w:sz w:val="22"/>
              </w:rPr>
              <w:t>EACH DIRECTOR NOMINEE</w:t>
            </w:r>
          </w:p>
        </w:tc>
        <w:tc>
          <w:tcPr>
            <w:tcW w:w="146" w:type="dxa"/>
            <w:tcBorders>
              <w:bottom w:val="single" w:sz="12" w:space="0" w:color="D9E1EB"/>
            </w:tcBorders>
            <w:tcMar>
              <w:top w:w="0" w:type="dxa"/>
              <w:left w:w="0" w:type="dxa"/>
              <w:right w:w="0" w:type="dxa"/>
            </w:tcMar>
            <w:vAlign w:val="center"/>
          </w:tcPr>
          <w:p>
            <w:pPr>
              <w:pStyle w:val="TableContents"/>
              <w:bidi w:val="0"/>
              <w:spacing w:before="0" w:after="60"/>
              <w:jc w:val="center"/>
              <w:rPr/>
            </w:pPr>
            <w:r>
              <w:rPr/>
              <w:t> </w:t>
            </w:r>
          </w:p>
        </w:tc>
        <w:tc>
          <w:tcPr>
            <w:tcW w:w="1686"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2"/>
              </w:rPr>
            </w:pPr>
            <w:r>
              <w:rPr>
                <w:rFonts w:ascii="Outfit;sans-serif" w:hAnsi="Outfit;sans-serif"/>
                <w:color w:val="000000"/>
                <w:sz w:val="22"/>
              </w:rPr>
              <w:t>11</w:t>
            </w:r>
          </w:p>
        </w:tc>
      </w:tr>
      <w:tr>
        <w:trPr/>
        <w:tc>
          <w:tcPr>
            <w:tcW w:w="271"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4"/>
              </w:rPr>
            </w:pPr>
            <w:r>
              <w:rPr>
                <w:rFonts w:ascii="Outfit;sans-serif" w:hAnsi="Outfit;sans-serif"/>
                <w:color w:val="000000"/>
                <w:sz w:val="24"/>
              </w:rPr>
              <w:t>2</w:t>
            </w:r>
          </w:p>
        </w:tc>
        <w:tc>
          <w:tcPr>
            <w:tcW w:w="5204" w:type="dxa"/>
            <w:tcBorders>
              <w:bottom w:val="single" w:sz="12"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00"/>
                <w:sz w:val="22"/>
              </w:rPr>
            </w:pPr>
            <w:r>
              <w:rPr>
                <w:rFonts w:ascii="Outfit;sans-serif" w:hAnsi="Outfit;sans-serif"/>
                <w:color w:val="000000"/>
                <w:sz w:val="22"/>
              </w:rPr>
              <w:t>Ratification of the selection of Ernst &amp; Young LLP as our independent registered public accounting firm</w:t>
            </w:r>
          </w:p>
        </w:tc>
        <w:tc>
          <w:tcPr>
            <w:tcW w:w="146" w:type="dxa"/>
            <w:tcBorders>
              <w:bottom w:val="single" w:sz="12" w:space="0" w:color="D9E1EB"/>
            </w:tcBorders>
            <w:tcMar>
              <w:top w:w="0" w:type="dxa"/>
              <w:left w:w="0" w:type="dxa"/>
              <w:right w:w="0" w:type="dxa"/>
            </w:tcMar>
            <w:vAlign w:val="center"/>
          </w:tcPr>
          <w:p>
            <w:pPr>
              <w:pStyle w:val="TableContents"/>
              <w:bidi w:val="0"/>
              <w:spacing w:before="0" w:after="60"/>
              <w:jc w:val="center"/>
              <w:rPr/>
            </w:pPr>
            <w:r>
              <w:rPr/>
              <w:t> </w:t>
            </w:r>
          </w:p>
        </w:tc>
        <w:tc>
          <w:tcPr>
            <w:tcW w:w="2752"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3465B0"/>
                <w:sz w:val="22"/>
              </w:rPr>
            </w:pPr>
            <w:r>
              <w:rPr>
                <w:rFonts w:ascii="Outfit;sans-serif" w:hAnsi="Outfit;sans-serif"/>
                <w:color w:val="3465B0"/>
                <w:sz w:val="22"/>
              </w:rPr>
              <w:t>FOR</w:t>
            </w:r>
          </w:p>
        </w:tc>
        <w:tc>
          <w:tcPr>
            <w:tcW w:w="146" w:type="dxa"/>
            <w:tcBorders>
              <w:bottom w:val="single" w:sz="12" w:space="0" w:color="D9E1EB"/>
            </w:tcBorders>
            <w:tcMar>
              <w:top w:w="0" w:type="dxa"/>
              <w:left w:w="0" w:type="dxa"/>
              <w:right w:w="0" w:type="dxa"/>
            </w:tcMar>
            <w:vAlign w:val="center"/>
          </w:tcPr>
          <w:p>
            <w:pPr>
              <w:pStyle w:val="TableContents"/>
              <w:bidi w:val="0"/>
              <w:spacing w:before="0" w:after="60"/>
              <w:jc w:val="center"/>
              <w:rPr/>
            </w:pPr>
            <w:r>
              <w:rPr/>
              <w:t> </w:t>
            </w:r>
          </w:p>
        </w:tc>
        <w:tc>
          <w:tcPr>
            <w:tcW w:w="1686"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2"/>
              </w:rPr>
            </w:pPr>
            <w:r>
              <w:rPr>
                <w:rFonts w:ascii="Outfit;sans-serif" w:hAnsi="Outfit;sans-serif"/>
                <w:color w:val="000000"/>
                <w:sz w:val="22"/>
              </w:rPr>
              <w:t>23</w:t>
            </w:r>
          </w:p>
        </w:tc>
      </w:tr>
      <w:tr>
        <w:trPr/>
        <w:tc>
          <w:tcPr>
            <w:tcW w:w="271"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4"/>
              </w:rPr>
            </w:pPr>
            <w:r>
              <w:rPr>
                <w:rFonts w:ascii="Outfit;sans-serif" w:hAnsi="Outfit;sans-serif"/>
                <w:color w:val="000000"/>
                <w:sz w:val="24"/>
              </w:rPr>
              <w:t>3</w:t>
            </w:r>
          </w:p>
        </w:tc>
        <w:tc>
          <w:tcPr>
            <w:tcW w:w="5204" w:type="dxa"/>
            <w:tcBorders>
              <w:bottom w:val="single" w:sz="12"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00"/>
                <w:sz w:val="22"/>
              </w:rPr>
            </w:pPr>
            <w:r>
              <w:rPr>
                <w:rFonts w:ascii="Outfit;sans-serif" w:hAnsi="Outfit;sans-serif"/>
                <w:color w:val="000000"/>
                <w:sz w:val="22"/>
              </w:rPr>
              <w:t>Advisory vote to approve the compensation of our named executive officers for 2025</w:t>
            </w:r>
          </w:p>
        </w:tc>
        <w:tc>
          <w:tcPr>
            <w:tcW w:w="146" w:type="dxa"/>
            <w:tcBorders>
              <w:bottom w:val="single" w:sz="12" w:space="0" w:color="D9E1EB"/>
            </w:tcBorders>
            <w:tcMar>
              <w:top w:w="0" w:type="dxa"/>
              <w:left w:w="0" w:type="dxa"/>
              <w:right w:w="0" w:type="dxa"/>
            </w:tcMar>
            <w:vAlign w:val="center"/>
          </w:tcPr>
          <w:p>
            <w:pPr>
              <w:pStyle w:val="TableContents"/>
              <w:bidi w:val="0"/>
              <w:spacing w:before="0" w:after="60"/>
              <w:jc w:val="center"/>
              <w:rPr/>
            </w:pPr>
            <w:r>
              <w:rPr/>
              <w:t> </w:t>
            </w:r>
          </w:p>
        </w:tc>
        <w:tc>
          <w:tcPr>
            <w:tcW w:w="2752"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3465B0"/>
                <w:sz w:val="22"/>
              </w:rPr>
            </w:pPr>
            <w:r>
              <w:rPr>
                <w:rFonts w:ascii="Outfit;sans-serif" w:hAnsi="Outfit;sans-serif"/>
                <w:color w:val="3465B0"/>
                <w:sz w:val="22"/>
              </w:rPr>
              <w:t>FOR</w:t>
            </w:r>
          </w:p>
        </w:tc>
        <w:tc>
          <w:tcPr>
            <w:tcW w:w="146" w:type="dxa"/>
            <w:tcBorders>
              <w:bottom w:val="single" w:sz="12" w:space="0" w:color="D9E1EB"/>
            </w:tcBorders>
            <w:tcMar>
              <w:top w:w="0" w:type="dxa"/>
              <w:left w:w="0" w:type="dxa"/>
              <w:right w:w="0" w:type="dxa"/>
            </w:tcMar>
            <w:vAlign w:val="center"/>
          </w:tcPr>
          <w:p>
            <w:pPr>
              <w:pStyle w:val="TableContents"/>
              <w:bidi w:val="0"/>
              <w:spacing w:before="0" w:after="60"/>
              <w:jc w:val="center"/>
              <w:rPr/>
            </w:pPr>
            <w:r>
              <w:rPr/>
              <w:t> </w:t>
            </w:r>
          </w:p>
        </w:tc>
        <w:tc>
          <w:tcPr>
            <w:tcW w:w="1686"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2"/>
              </w:rPr>
            </w:pPr>
            <w:r>
              <w:rPr>
                <w:rFonts w:ascii="Outfit;sans-serif" w:hAnsi="Outfit;sans-serif"/>
                <w:color w:val="000000"/>
                <w:sz w:val="22"/>
              </w:rPr>
              <w:t>26</w:t>
            </w:r>
          </w:p>
        </w:tc>
      </w:tr>
    </w:tbl>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How to Vote</w:t>
      </w:r>
    </w:p>
    <w:tbl>
      <w:tblPr>
        <w:tblW w:w="10205" w:type="dxa"/>
        <w:jc w:val="left"/>
        <w:tblInd w:w="0" w:type="dxa"/>
        <w:tblLayout w:type="fixed"/>
        <w:tblCellMar>
          <w:top w:w="28" w:type="dxa"/>
          <w:left w:w="28" w:type="dxa"/>
          <w:bottom w:w="28" w:type="dxa"/>
          <w:right w:w="28" w:type="dxa"/>
        </w:tblCellMar>
      </w:tblPr>
      <w:tblGrid>
        <w:gridCol w:w="3427"/>
        <w:gridCol w:w="146"/>
        <w:gridCol w:w="1832"/>
        <w:gridCol w:w="146"/>
        <w:gridCol w:w="2331"/>
        <w:gridCol w:w="146"/>
        <w:gridCol w:w="2177"/>
      </w:tblGrid>
      <w:tr>
        <w:trPr/>
        <w:tc>
          <w:tcPr>
            <w:tcW w:w="3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7882" w:type="dxa"/>
            <w:gridSpan w:val="5"/>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Vote Right Away Through Advance Voting Methods</w:t>
            </w:r>
          </w:p>
        </w:tc>
        <w:tc>
          <w:tcPr>
            <w:tcW w:w="146" w:type="dxa"/>
            <w:tcBorders/>
            <w:tcMar>
              <w:top w:w="0" w:type="dxa"/>
              <w:left w:w="0" w:type="dxa"/>
              <w:bottom w:w="0" w:type="dxa"/>
              <w:right w:w="0" w:type="dxa"/>
            </w:tcMar>
            <w:vAlign w:val="center"/>
          </w:tcPr>
          <w:p>
            <w:pPr>
              <w:pStyle w:val="TableContents"/>
              <w:bidi w:val="0"/>
              <w:spacing w:before="120" w:after="120"/>
              <w:jc w:val="both"/>
              <w:rPr/>
            </w:pPr>
            <w:r>
              <w:rPr/>
              <w:t> </w:t>
            </w:r>
          </w:p>
        </w:tc>
        <w:tc>
          <w:tcPr>
            <w:tcW w:w="2177" w:type="dxa"/>
            <w:tcBorders/>
            <w:shd w:fill="E4F5FE" w:val="clear"/>
            <w:tcMar>
              <w:top w:w="0" w:type="dxa"/>
              <w:left w:w="0" w:type="dxa"/>
              <w:bottom w:w="0" w:type="dxa"/>
              <w:right w:w="0" w:type="dxa"/>
            </w:tcMar>
            <w:vAlign w:val="center"/>
          </w:tcPr>
          <w:p>
            <w:pPr>
              <w:pStyle w:val="TableContents"/>
              <w:bidi w:val="0"/>
              <w:spacing w:before="120" w:after="120"/>
              <w:jc w:val="center"/>
              <w:rPr>
                <w:rFonts w:ascii="Outfit;sans-serif" w:hAnsi="Outfit;sans-serif"/>
                <w:b/>
                <w:color w:val="3465B0"/>
                <w:sz w:val="22"/>
              </w:rPr>
            </w:pPr>
            <w:r>
              <w:rPr>
                <w:rFonts w:ascii="Outfit;sans-serif" w:hAnsi="Outfit;sans-serif"/>
                <w:b/>
                <w:color w:val="3465B0"/>
                <w:sz w:val="22"/>
              </w:rPr>
              <w:t xml:space="preserve">Vote During the </w:t>
              <w:br/>
              <w:t>Annual Meeting</w:t>
            </w:r>
          </w:p>
        </w:tc>
      </w:tr>
      <w:tr>
        <w:trPr/>
        <w:tc>
          <w:tcPr>
            <w:tcW w:w="3427" w:type="dxa"/>
            <w:tcBorders/>
            <w:tcMar>
              <w:top w:w="0" w:type="dxa"/>
              <w:left w:w="0" w:type="dxa"/>
              <w:bottom w:w="0" w:type="dxa"/>
              <w:right w:w="0" w:type="dxa"/>
            </w:tcMar>
            <w:vAlign w:val="center"/>
          </w:tcPr>
          <w:p>
            <w:pPr>
              <w:pStyle w:val="TableContents"/>
              <w:bidi w:val="0"/>
              <w:spacing w:before="80" w:after="80"/>
              <w:jc w:val="center"/>
              <w:rPr>
                <w:rFonts w:ascii="Times New Roman" w:hAnsi="Times New Roman"/>
                <w:sz w:val="22"/>
              </w:rPr>
            </w:pPr>
            <w:r>
              <w:rPr>
                <w:rFonts w:ascii="Outfit;sans-serif" w:hAnsi="Outfit;sans-serif"/>
                <w:color w:val="3465B0"/>
                <w:sz w:val="22"/>
              </w:rPr>
              <w:t>Vote by internet</w:t>
            </w:r>
            <w:r>
              <w:rPr>
                <w:rFonts w:ascii="Times New Roman" w:hAnsi="Times New Roman"/>
                <w:color w:val="3465B0"/>
                <w:sz w:val="22"/>
              </w:rPr>
              <w:t xml:space="preserve"> </w:t>
            </w:r>
          </w:p>
        </w:tc>
        <w:tc>
          <w:tcPr>
            <w:tcW w:w="146" w:type="dxa"/>
            <w:tcBorders/>
            <w:tcMar>
              <w:top w:w="0" w:type="dxa"/>
              <w:left w:w="0" w:type="dxa"/>
              <w:bottom w:w="0" w:type="dxa"/>
              <w:right w:w="0" w:type="dxa"/>
            </w:tcMar>
            <w:vAlign w:val="center"/>
          </w:tcPr>
          <w:p>
            <w:pPr>
              <w:pStyle w:val="TableContents"/>
              <w:bidi w:val="0"/>
              <w:spacing w:before="80" w:after="80"/>
              <w:jc w:val="center"/>
              <w:rPr/>
            </w:pPr>
            <w:r>
              <w:rPr/>
              <w:t> </w:t>
            </w:r>
          </w:p>
        </w:tc>
        <w:tc>
          <w:tcPr>
            <w:tcW w:w="1832" w:type="dxa"/>
            <w:tcBorders/>
            <w:tcMar>
              <w:top w:w="0" w:type="dxa"/>
              <w:left w:w="0" w:type="dxa"/>
              <w:bottom w:w="0" w:type="dxa"/>
              <w:right w:w="0" w:type="dxa"/>
            </w:tcMar>
            <w:vAlign w:val="center"/>
          </w:tcPr>
          <w:p>
            <w:pPr>
              <w:pStyle w:val="TableContents"/>
              <w:bidi w:val="0"/>
              <w:spacing w:before="80" w:after="80"/>
              <w:jc w:val="center"/>
              <w:rPr>
                <w:rFonts w:ascii="Outfit;sans-serif" w:hAnsi="Outfit;sans-serif"/>
                <w:color w:val="3465B0"/>
                <w:sz w:val="22"/>
              </w:rPr>
            </w:pPr>
            <w:r>
              <w:rPr>
                <w:rFonts w:ascii="Outfit;sans-serif" w:hAnsi="Outfit;sans-serif"/>
                <w:color w:val="3465B0"/>
                <w:sz w:val="22"/>
              </w:rPr>
              <w:t>Vote by telephone</w:t>
            </w:r>
          </w:p>
        </w:tc>
        <w:tc>
          <w:tcPr>
            <w:tcW w:w="146" w:type="dxa"/>
            <w:tcBorders/>
            <w:tcMar>
              <w:top w:w="0" w:type="dxa"/>
              <w:left w:w="0" w:type="dxa"/>
              <w:bottom w:w="0" w:type="dxa"/>
              <w:right w:w="0" w:type="dxa"/>
            </w:tcMar>
            <w:vAlign w:val="center"/>
          </w:tcPr>
          <w:p>
            <w:pPr>
              <w:pStyle w:val="TableContents"/>
              <w:bidi w:val="0"/>
              <w:spacing w:before="80" w:after="80"/>
              <w:jc w:val="center"/>
              <w:rPr/>
            </w:pPr>
            <w:r>
              <w:rPr/>
              <w:t> </w:t>
            </w:r>
          </w:p>
        </w:tc>
        <w:tc>
          <w:tcPr>
            <w:tcW w:w="2331" w:type="dxa"/>
            <w:tcBorders/>
            <w:tcMar>
              <w:top w:w="0" w:type="dxa"/>
              <w:left w:w="0" w:type="dxa"/>
              <w:bottom w:w="0" w:type="dxa"/>
              <w:right w:w="0" w:type="dxa"/>
            </w:tcMar>
            <w:vAlign w:val="center"/>
          </w:tcPr>
          <w:p>
            <w:pPr>
              <w:pStyle w:val="TableContents"/>
              <w:bidi w:val="0"/>
              <w:spacing w:before="80" w:after="80"/>
              <w:jc w:val="center"/>
              <w:rPr>
                <w:rFonts w:ascii="Outfit;sans-serif" w:hAnsi="Outfit;sans-serif"/>
                <w:color w:val="3465B0"/>
                <w:sz w:val="22"/>
              </w:rPr>
            </w:pPr>
            <w:r>
              <w:rPr>
                <w:rFonts w:ascii="Outfit;sans-serif" w:hAnsi="Outfit;sans-serif"/>
                <w:color w:val="3465B0"/>
                <w:sz w:val="22"/>
              </w:rPr>
              <w:t>Vote by mail</w:t>
            </w:r>
          </w:p>
        </w:tc>
        <w:tc>
          <w:tcPr>
            <w:tcW w:w="146" w:type="dxa"/>
            <w:tcBorders/>
            <w:tcMar>
              <w:top w:w="0" w:type="dxa"/>
              <w:left w:w="0" w:type="dxa"/>
              <w:bottom w:w="0" w:type="dxa"/>
              <w:right w:w="0" w:type="dxa"/>
            </w:tcMar>
            <w:vAlign w:val="center"/>
          </w:tcPr>
          <w:p>
            <w:pPr>
              <w:pStyle w:val="TableContents"/>
              <w:bidi w:val="0"/>
              <w:spacing w:before="80" w:after="80"/>
              <w:jc w:val="center"/>
              <w:rPr/>
            </w:pPr>
            <w:r>
              <w:rPr/>
              <w:t> </w:t>
            </w:r>
          </w:p>
        </w:tc>
        <w:tc>
          <w:tcPr>
            <w:tcW w:w="2177" w:type="dxa"/>
            <w:tcBorders/>
            <w:tcMar>
              <w:top w:w="0" w:type="dxa"/>
              <w:left w:w="0" w:type="dxa"/>
              <w:bottom w:w="0" w:type="dxa"/>
              <w:right w:w="0" w:type="dxa"/>
            </w:tcMar>
            <w:vAlign w:val="center"/>
          </w:tcPr>
          <w:p>
            <w:pPr>
              <w:pStyle w:val="TableContents"/>
              <w:bidi w:val="0"/>
              <w:spacing w:before="80" w:after="80"/>
              <w:jc w:val="center"/>
              <w:rPr/>
            </w:pPr>
            <w:r>
              <w:rPr/>
              <w:t> </w:t>
            </w:r>
          </w:p>
        </w:tc>
      </w:tr>
      <w:tr>
        <w:trPr/>
        <w:tc>
          <w:tcPr>
            <w:tcW w:w="3427"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542925" cy="542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2925" cy="5429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80" w:after="80"/>
              <w:jc w:val="both"/>
              <w:rPr/>
            </w:pPr>
            <w:r>
              <w:rPr/>
              <w:t> </w:t>
            </w:r>
          </w:p>
        </w:tc>
        <w:tc>
          <w:tcPr>
            <w:tcW w:w="1832"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666750" cy="666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66750" cy="6667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80" w:after="80"/>
              <w:jc w:val="both"/>
              <w:rPr/>
            </w:pPr>
            <w:r>
              <w:rPr/>
              <w:t> </w:t>
            </w:r>
          </w:p>
        </w:tc>
        <w:tc>
          <w:tcPr>
            <w:tcW w:w="2331"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647700" cy="628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47700" cy="628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80" w:after="80"/>
              <w:jc w:val="both"/>
              <w:rPr/>
            </w:pPr>
            <w:r>
              <w:rPr/>
              <w:t> </w:t>
            </w:r>
          </w:p>
        </w:tc>
        <w:tc>
          <w:tcPr>
            <w:tcW w:w="2177" w:type="dxa"/>
            <w:tcBorders/>
            <w:tcMar>
              <w:top w:w="0" w:type="dxa"/>
              <w:left w:w="0" w:type="dxa"/>
              <w:bottom w:w="0" w:type="dxa"/>
              <w:right w:w="0" w:type="dxa"/>
            </w:tcMar>
            <w:vAlign w:val="center"/>
          </w:tcPr>
          <w:p>
            <w:pPr>
              <w:pStyle w:val="TableContents"/>
              <w:bidi w:val="0"/>
              <w:spacing w:before="80" w:after="80"/>
              <w:jc w:val="center"/>
              <w:rPr/>
            </w:pPr>
            <w:r>
              <w:rPr/>
              <w:drawing>
                <wp:inline distT="0" distB="0" distL="0" distR="0">
                  <wp:extent cx="581025" cy="581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81025" cy="581025"/>
                          </a:xfrm>
                          <a:prstGeom prst="rect">
                            <a:avLst/>
                          </a:prstGeom>
                        </pic:spPr>
                      </pic:pic>
                    </a:graphicData>
                  </a:graphic>
                </wp:inline>
              </w:drawing>
            </w:r>
          </w:p>
        </w:tc>
      </w:tr>
      <w:tr>
        <w:trPr/>
        <w:tc>
          <w:tcPr>
            <w:tcW w:w="3427" w:type="dxa"/>
            <w:tcBorders/>
            <w:tcMar>
              <w:top w:w="0" w:type="dxa"/>
              <w:left w:w="0" w:type="dxa"/>
              <w:bottom w:w="0" w:type="dxa"/>
              <w:right w:w="0" w:type="dxa"/>
            </w:tcMar>
            <w:vAlign w:val="center"/>
          </w:tcPr>
          <w:p>
            <w:pPr>
              <w:pStyle w:val="TableContents"/>
              <w:bidi w:val="0"/>
              <w:spacing w:before="80" w:after="80"/>
              <w:jc w:val="center"/>
              <w:rPr>
                <w:rFonts w:ascii="Times New Roman" w:hAnsi="Times New Roman"/>
                <w:sz w:val="22"/>
              </w:rPr>
            </w:pPr>
            <w:r>
              <w:rPr>
                <w:rFonts w:ascii="Outfit;sans-serif" w:hAnsi="Outfit;sans-serif"/>
                <w:color w:val="000000"/>
                <w:sz w:val="22"/>
              </w:rPr>
              <w:t xml:space="preserve">Go to </w:t>
            </w:r>
            <w:r>
              <w:rPr>
                <w:rFonts w:ascii="Outfit;sans-serif" w:hAnsi="Outfit;sans-serif"/>
                <w:i/>
                <w:color w:val="000000"/>
                <w:sz w:val="22"/>
              </w:rPr>
              <w:t>www.proxyvote.com</w:t>
            </w:r>
            <w:r>
              <w:rPr>
                <w:rFonts w:ascii="Times New Roman" w:hAnsi="Times New Roman"/>
                <w:color w:val="000000"/>
                <w:sz w:val="22"/>
              </w:rPr>
              <w:t> </w:t>
            </w:r>
            <w:r>
              <w:rPr>
                <w:rFonts w:ascii="Outfit;sans-serif" w:hAnsi="Outfit;sans-serif"/>
                <w:color w:val="000000"/>
                <w:sz w:val="22"/>
              </w:rPr>
              <w:t>and enter the 16-digit control number provided with the proxy materials</w:t>
            </w:r>
          </w:p>
        </w:tc>
        <w:tc>
          <w:tcPr>
            <w:tcW w:w="146" w:type="dxa"/>
            <w:tcBorders/>
            <w:tcMar>
              <w:top w:w="0" w:type="dxa"/>
              <w:left w:w="0" w:type="dxa"/>
              <w:bottom w:w="0" w:type="dxa"/>
              <w:right w:w="0" w:type="dxa"/>
            </w:tcMar>
            <w:vAlign w:val="center"/>
          </w:tcPr>
          <w:p>
            <w:pPr>
              <w:pStyle w:val="TableContents"/>
              <w:bidi w:val="0"/>
              <w:spacing w:before="80" w:after="80"/>
              <w:jc w:val="both"/>
              <w:rPr/>
            </w:pPr>
            <w:r>
              <w:rPr/>
              <w:t> </w:t>
            </w:r>
          </w:p>
        </w:tc>
        <w:tc>
          <w:tcPr>
            <w:tcW w:w="1832" w:type="dxa"/>
            <w:tcBorders/>
            <w:tcMar>
              <w:top w:w="0" w:type="dxa"/>
              <w:left w:w="0" w:type="dxa"/>
              <w:bottom w:w="0" w:type="dxa"/>
              <w:right w:w="0" w:type="dxa"/>
            </w:tcMar>
            <w:vAlign w:val="center"/>
          </w:tcPr>
          <w:p>
            <w:pPr>
              <w:pStyle w:val="TableContents"/>
              <w:bidi w:val="0"/>
              <w:spacing w:before="80" w:after="80"/>
              <w:jc w:val="center"/>
              <w:rPr>
                <w:rFonts w:ascii="Outfit;sans-serif" w:hAnsi="Outfit;sans-serif"/>
                <w:color w:val="000000"/>
                <w:sz w:val="22"/>
              </w:rPr>
            </w:pPr>
            <w:r>
              <w:rPr>
                <w:rFonts w:ascii="Outfit;sans-serif" w:hAnsi="Outfit;sans-serif"/>
                <w:color w:val="000000"/>
                <w:sz w:val="22"/>
              </w:rPr>
              <w:t>Call (800) 690-6903: you will need the 16-digit control number provided with the proxy materials</w:t>
            </w:r>
          </w:p>
        </w:tc>
        <w:tc>
          <w:tcPr>
            <w:tcW w:w="146" w:type="dxa"/>
            <w:tcBorders/>
            <w:tcMar>
              <w:top w:w="0" w:type="dxa"/>
              <w:left w:w="0" w:type="dxa"/>
              <w:bottom w:w="0" w:type="dxa"/>
              <w:right w:w="0" w:type="dxa"/>
            </w:tcMar>
            <w:vAlign w:val="center"/>
          </w:tcPr>
          <w:p>
            <w:pPr>
              <w:pStyle w:val="TableContents"/>
              <w:bidi w:val="0"/>
              <w:spacing w:before="80" w:after="80"/>
              <w:jc w:val="both"/>
              <w:rPr/>
            </w:pPr>
            <w:r>
              <w:rPr/>
              <w:t> </w:t>
            </w:r>
          </w:p>
        </w:tc>
        <w:tc>
          <w:tcPr>
            <w:tcW w:w="2331" w:type="dxa"/>
            <w:tcBorders/>
            <w:tcMar>
              <w:top w:w="0" w:type="dxa"/>
              <w:left w:w="0" w:type="dxa"/>
              <w:bottom w:w="0" w:type="dxa"/>
              <w:right w:w="0" w:type="dxa"/>
            </w:tcMar>
            <w:vAlign w:val="center"/>
          </w:tcPr>
          <w:p>
            <w:pPr>
              <w:pStyle w:val="TableContents"/>
              <w:bidi w:val="0"/>
              <w:spacing w:before="80" w:after="80"/>
              <w:jc w:val="center"/>
              <w:rPr>
                <w:rFonts w:ascii="Outfit;sans-serif" w:hAnsi="Outfit;sans-serif"/>
                <w:color w:val="000000"/>
                <w:sz w:val="22"/>
              </w:rPr>
            </w:pPr>
            <w:r>
              <w:rPr>
                <w:rFonts w:ascii="Outfit;sans-serif" w:hAnsi="Outfit;sans-serif"/>
                <w:color w:val="000000"/>
                <w:sz w:val="22"/>
              </w:rPr>
              <w:t>Complete, sign, and date the proxy card and mail it in the accompanying pre-addressed envelope</w:t>
            </w:r>
          </w:p>
        </w:tc>
        <w:tc>
          <w:tcPr>
            <w:tcW w:w="146" w:type="dxa"/>
            <w:tcBorders/>
            <w:tcMar>
              <w:top w:w="0" w:type="dxa"/>
              <w:left w:w="0" w:type="dxa"/>
              <w:bottom w:w="0" w:type="dxa"/>
              <w:right w:w="0" w:type="dxa"/>
            </w:tcMar>
            <w:vAlign w:val="center"/>
          </w:tcPr>
          <w:p>
            <w:pPr>
              <w:pStyle w:val="TableContents"/>
              <w:bidi w:val="0"/>
              <w:spacing w:before="80" w:after="80"/>
              <w:jc w:val="both"/>
              <w:rPr/>
            </w:pPr>
            <w:r>
              <w:rPr/>
              <w:t> </w:t>
            </w:r>
          </w:p>
        </w:tc>
        <w:tc>
          <w:tcPr>
            <w:tcW w:w="2177" w:type="dxa"/>
            <w:tcBorders/>
            <w:tcMar>
              <w:top w:w="0" w:type="dxa"/>
              <w:left w:w="0" w:type="dxa"/>
              <w:bottom w:w="0" w:type="dxa"/>
              <w:right w:w="0" w:type="dxa"/>
            </w:tcMar>
            <w:vAlign w:val="center"/>
          </w:tcPr>
          <w:p>
            <w:pPr>
              <w:pStyle w:val="TableContents"/>
              <w:bidi w:val="0"/>
              <w:spacing w:before="80" w:after="80"/>
              <w:jc w:val="center"/>
              <w:rPr>
                <w:rFonts w:ascii="Times New Roman" w:hAnsi="Times New Roman"/>
                <w:sz w:val="22"/>
              </w:rPr>
            </w:pPr>
            <w:r>
              <w:rPr>
                <w:rFonts w:ascii="Outfit;sans-serif" w:hAnsi="Outfit;sans-serif"/>
                <w:color w:val="000000"/>
                <w:sz w:val="22"/>
              </w:rPr>
              <w:t xml:space="preserve">See </w:t>
            </w:r>
            <w:r>
              <w:rPr>
                <w:rFonts w:ascii="Times New Roman" w:hAnsi="Times New Roman"/>
                <w:color w:val="000000"/>
                <w:sz w:val="22"/>
              </w:rPr>
              <w:t>“</w:t>
            </w:r>
            <w:r>
              <w:rPr>
                <w:rFonts w:ascii="Outfit;sans-serif" w:hAnsi="Outfit;sans-serif"/>
                <w:i/>
                <w:color w:val="000000"/>
                <w:sz w:val="22"/>
              </w:rPr>
              <w:t>General Information About the Annual Meeting”</w:t>
            </w:r>
            <w:r>
              <w:rPr>
                <w:rFonts w:ascii="Times New Roman" w:hAnsi="Times New Roman"/>
                <w:color w:val="000000"/>
                <w:sz w:val="22"/>
              </w:rPr>
              <w:t> </w:t>
            </w:r>
            <w:r>
              <w:rPr>
                <w:rFonts w:ascii="Outfit;sans-serif" w:hAnsi="Outfit;sans-serif"/>
                <w:color w:val="000000"/>
                <w:sz w:val="22"/>
              </w:rPr>
              <w:t>for details on how to vote during the Annual Meeting</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center"/>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Proxy Summary</w:t>
            </w:r>
          </w:p>
          <w:p>
            <w:pPr>
              <w:pStyle w:val="Heading1"/>
              <w:bidi w:val="0"/>
              <w:spacing w:before="240" w:after="283"/>
              <w:jc w:val="center"/>
              <w:rPr/>
            </w:pPr>
            <w:r>
              <w:rPr/>
              <w:t> </w:t>
            </w:r>
          </w:p>
        </w:tc>
      </w:tr>
    </w:tbl>
    <w:p>
      <w:pPr>
        <w:pStyle w:val="TextBody"/>
        <w:bidi w:val="0"/>
        <w:jc w:val="left"/>
        <w:rPr/>
      </w:pPr>
      <w:r>
        <w:rPr/>
        <w:t> </w:t>
      </w:r>
    </w:p>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Culture, Values, and Standards</w:t>
      </w:r>
    </w:p>
    <w:tbl>
      <w:tblPr>
        <w:tblW w:w="7263" w:type="dxa"/>
        <w:jc w:val="left"/>
        <w:tblInd w:w="0" w:type="dxa"/>
        <w:tblLayout w:type="fixed"/>
        <w:tblCellMar>
          <w:top w:w="28" w:type="dxa"/>
          <w:left w:w="28" w:type="dxa"/>
          <w:bottom w:w="28" w:type="dxa"/>
          <w:right w:w="28" w:type="dxa"/>
        </w:tblCellMar>
      </w:tblPr>
      <w:tblGrid>
        <w:gridCol w:w="2116"/>
        <w:gridCol w:w="2761"/>
        <w:gridCol w:w="2386"/>
      </w:tblGrid>
      <w:tr>
        <w:trPr/>
        <w:tc>
          <w:tcPr>
            <w:tcW w:w="211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7263" w:type="dxa"/>
            <w:gridSpan w:val="3"/>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OUR CORE VALUES</w:t>
            </w:r>
          </w:p>
        </w:tc>
      </w:tr>
      <w:tr>
        <w:trPr/>
        <w:tc>
          <w:tcPr>
            <w:tcW w:w="2116"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8"/>
              </w:rPr>
            </w:pPr>
            <w:r>
              <w:rPr>
                <w:rFonts w:ascii="Outfit;sans-serif" w:hAnsi="Outfit;sans-serif"/>
                <w:b/>
                <w:color w:val="3465B0"/>
                <w:sz w:val="28"/>
              </w:rPr>
              <w:t>PIONEERING</w:t>
            </w:r>
          </w:p>
        </w:tc>
        <w:tc>
          <w:tcPr>
            <w:tcW w:w="2761"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8"/>
              </w:rPr>
            </w:pPr>
            <w:r>
              <w:rPr>
                <w:rFonts w:ascii="Outfit;sans-serif" w:hAnsi="Outfit;sans-serif"/>
                <w:b/>
                <w:color w:val="3465B0"/>
                <w:sz w:val="28"/>
              </w:rPr>
              <w:t>TRANSPARENT</w:t>
            </w:r>
          </w:p>
        </w:tc>
        <w:tc>
          <w:tcPr>
            <w:tcW w:w="2386"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8"/>
              </w:rPr>
            </w:pPr>
            <w:r>
              <w:rPr>
                <w:rFonts w:ascii="Outfit;sans-serif" w:hAnsi="Outfit;sans-serif"/>
                <w:b/>
                <w:color w:val="3465B0"/>
                <w:sz w:val="28"/>
              </w:rPr>
              <w:t>DATA-DRIVEN</w:t>
            </w:r>
          </w:p>
        </w:tc>
      </w:tr>
      <w:tr>
        <w:trPr/>
        <w:tc>
          <w:tcPr>
            <w:tcW w:w="2116"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MOVE</w:t>
            </w:r>
          </w:p>
          <w:p>
            <w:pPr>
              <w:pStyle w:val="TableContents"/>
              <w:bidi w:val="0"/>
              <w:spacing w:before="0" w:after="283"/>
              <w:jc w:val="center"/>
              <w:rPr>
                <w:rFonts w:ascii="Outfit;sans-serif" w:hAnsi="Outfit;sans-serif"/>
                <w:b/>
                <w:color w:val="3465B0"/>
                <w:sz w:val="28"/>
              </w:rPr>
            </w:pPr>
            <w:r>
              <w:rPr>
                <w:rFonts w:ascii="Outfit;sans-serif" w:hAnsi="Outfit;sans-serif"/>
                <w:b/>
                <w:color w:val="3465B0"/>
                <w:sz w:val="28"/>
              </w:rPr>
              <w:t>QUICKLY</w:t>
            </w:r>
          </w:p>
        </w:tc>
        <w:tc>
          <w:tcPr>
            <w:tcW w:w="2761"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8"/>
              </w:rPr>
            </w:pPr>
            <w:r>
              <w:rPr>
                <w:rFonts w:ascii="Outfit;sans-serif" w:hAnsi="Outfit;sans-serif"/>
                <w:b/>
                <w:color w:val="3465B0"/>
                <w:sz w:val="28"/>
              </w:rPr>
              <w:t>COLLABORATIVE</w:t>
            </w:r>
          </w:p>
        </w:tc>
        <w:tc>
          <w:tcPr>
            <w:tcW w:w="2386"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HAVE</w:t>
            </w:r>
          </w:p>
          <w:p>
            <w:pPr>
              <w:pStyle w:val="TableContents"/>
              <w:bidi w:val="0"/>
              <w:spacing w:before="0" w:after="283"/>
              <w:jc w:val="center"/>
              <w:rPr>
                <w:rFonts w:ascii="Outfit;sans-serif" w:hAnsi="Outfit;sans-serif"/>
                <w:b/>
                <w:color w:val="3465B0"/>
                <w:sz w:val="28"/>
              </w:rPr>
            </w:pPr>
            <w:r>
              <w:rPr>
                <w:rFonts w:ascii="Outfit;sans-serif" w:hAnsi="Outfit;sans-serif"/>
                <w:b/>
                <w:color w:val="3465B0"/>
                <w:sz w:val="28"/>
              </w:rPr>
              <w:t>INTEGRITY</w:t>
            </w:r>
          </w:p>
        </w:tc>
      </w:tr>
    </w:tbl>
    <w:p>
      <w:pPr>
        <w:pStyle w:val="TextBody"/>
        <w:bidi w:val="0"/>
        <w:spacing w:before="120" w:after="120"/>
        <w:jc w:val="both"/>
        <w:rPr>
          <w:rFonts w:ascii="Times New Roman" w:hAnsi="Times New Roman"/>
          <w:sz w:val="20"/>
        </w:rPr>
      </w:pPr>
      <w:r>
        <w:rPr>
          <w:rFonts w:ascii="Outfit;sans-serif" w:hAnsi="Outfit;sans-serif"/>
          <w:color w:val="00002D"/>
          <w:sz w:val="22"/>
        </w:rPr>
        <w:t>Our company culture is rooted in a data-driven, innovative approach to the automotive market, fostering thought leadership, collaboration, and continuous improvement to serve our consumers, dealers, and partners. We are an equal opportunity employer and strive to build and nurture a culture where inclusiveness is a reflex, not an initiative.</w:t>
      </w:r>
      <w:r>
        <w:rPr>
          <w:rFonts w:ascii="Times New Roman" w:hAnsi="Times New Roman"/>
          <w:color w:val="00002D"/>
          <w:sz w:val="20"/>
        </w:rPr>
        <w:t xml:space="preserve"> </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have five universal leadership capabilities that differentiate us from the market as part of our continued commitment to give employees the power to own their career development and impact and guide how we work and drive impact. They include: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b/>
                <w:color w:val="3465B0"/>
                <w:sz w:val="22"/>
              </w:rPr>
              <w:t xml:space="preserve">CATALYST FOR IMPACT. </w:t>
            </w:r>
            <w:r>
              <w:rPr>
                <w:rFonts w:ascii="Outfit;sans-serif" w:hAnsi="Outfit;sans-serif"/>
                <w:color w:val="000000"/>
                <w:sz w:val="22"/>
              </w:rPr>
              <w:t>We set high standards and take full ownership for our work. We are decisive, results-oriented, and have a bias for action.</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b/>
                <w:color w:val="3465B0"/>
                <w:sz w:val="22"/>
              </w:rPr>
              <w:t>COACH.</w:t>
            </w:r>
            <w:r>
              <w:rPr>
                <w:rFonts w:ascii="Times New Roman" w:hAnsi="Times New Roman"/>
                <w:color w:val="000000"/>
                <w:sz w:val="22"/>
              </w:rPr>
              <w:t> </w:t>
            </w:r>
            <w:r>
              <w:rPr>
                <w:rFonts w:ascii="Outfit;sans-serif" w:hAnsi="Outfit;sans-serif"/>
                <w:color w:val="000000"/>
                <w:sz w:val="22"/>
              </w:rPr>
              <w:t>We embody a growth mindset and foster an environment of learning, developing, and growing together.</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b/>
                <w:color w:val="3465B0"/>
                <w:sz w:val="22"/>
              </w:rPr>
              <w:t xml:space="preserve">COMMUNICATOR. </w:t>
            </w:r>
            <w:r>
              <w:rPr>
                <w:rFonts w:ascii="Outfit;sans-serif" w:hAnsi="Outfit;sans-serif"/>
                <w:color w:val="000000"/>
                <w:sz w:val="22"/>
              </w:rPr>
              <w:t>We share our vision and bring people along. We communicate clearly and simply, using data and facts to inform and shape our priorities.</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b/>
                <w:color w:val="3465B0"/>
                <w:sz w:val="22"/>
              </w:rPr>
              <w:t xml:space="preserve">CHANGE LEADER. </w:t>
            </w:r>
            <w:r>
              <w:rPr>
                <w:rFonts w:ascii="Outfit;sans-serif" w:hAnsi="Outfit;sans-serif"/>
                <w:color w:val="000000"/>
                <w:sz w:val="22"/>
              </w:rPr>
              <w:t>We challenge ourselves and others to innovate and experiment. We are comfortable with ambiguity and adapt quickly when priorities change, remaining focused on the big picture.</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b/>
                <w:color w:val="3465B0"/>
                <w:sz w:val="22"/>
              </w:rPr>
              <w:t xml:space="preserve">CARING COLLABORATOR. </w:t>
            </w:r>
            <w:r>
              <w:rPr>
                <w:rFonts w:ascii="Outfit;sans-serif" w:hAnsi="Outfit;sans-serif"/>
                <w:color w:val="000000"/>
                <w:sz w:val="22"/>
              </w:rPr>
              <w:t>We create meaningful partnerships and a sense of belonging, setting foundations of trust, respect, inclusion, and empathy in how we work.</w:t>
            </w:r>
            <w:r>
              <w:rPr>
                <w:rFonts w:ascii="Times New Roman" w:hAnsi="Times New Roman"/>
                <w:color w:val="000000"/>
                <w:sz w:val="22"/>
              </w:rPr>
              <w:t xml:space="preserve"> </w:t>
            </w:r>
          </w:p>
        </w:tc>
      </w:tr>
    </w:tbl>
    <w:p>
      <w:pPr>
        <w:pStyle w:val="TextBody"/>
        <w:bidi w:val="0"/>
        <w:spacing w:before="120" w:after="120"/>
        <w:jc w:val="both"/>
        <w:rPr>
          <w:rFonts w:ascii="Times New Roman" w:hAnsi="Times New Roman"/>
          <w:sz w:val="20"/>
        </w:rPr>
      </w:pPr>
      <w:r>
        <w:rPr>
          <w:rFonts w:ascii="Outfit;sans-serif" w:hAnsi="Outfit;sans-serif"/>
          <w:color w:val="00002D"/>
          <w:sz w:val="22"/>
        </w:rPr>
        <w:t>We continually invest in employee career growth and a wide range of development opportunities, including compliance training, mentoring, coaching, and hybrid learning formats.</w:t>
      </w:r>
      <w:r>
        <w:rPr>
          <w:rFonts w:ascii="Times New Roman" w:hAnsi="Times New Roman"/>
          <w:color w:val="00002D"/>
          <w:sz w:val="20"/>
        </w:rPr>
        <w:t xml:space="preserve">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Charitable Giving</w:t>
      </w:r>
    </w:p>
    <w:p>
      <w:pPr>
        <w:pStyle w:val="TextBody"/>
        <w:bidi w:val="0"/>
        <w:spacing w:before="0" w:after="120"/>
        <w:jc w:val="both"/>
        <w:rPr>
          <w:rFonts w:ascii="Times New Roman" w:hAnsi="Times New Roman"/>
          <w:sz w:val="20"/>
        </w:rPr>
      </w:pPr>
      <w:r>
        <w:rPr>
          <w:rFonts w:ascii="Outfit;sans-serif" w:hAnsi="Outfit;sans-serif"/>
          <w:color w:val="000000"/>
          <w:sz w:val="22"/>
        </w:rPr>
        <w:t>One of our core values is integrity, which we endeavor to achieve by acting responsibly and considering the impact of our actions on one another, our partners, and the world around us. Our Drive Change program, which was launched in 2023 and built on our charitable giving program that was established in 2018, highlights our commitment to our core values and mission by supporting our local communities through both employee and dealer engagement.</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Drive Change program allows our employees to submit nominations for donations to tax-exempt organizations, which are then reviewed by a committee of our employees and awarded to selected charities on a quarterly basis. During 2025 we awarded approximately $460,000 to various charitable organizations. It also includes a volunteer program for employees, provides paid time off opportunities for volunteer work, and includes company matching campaigns for employee donations.</w:t>
      </w:r>
    </w:p>
    <w:p>
      <w:pPr>
        <w:pStyle w:val="TextBody"/>
        <w:bidi w:val="0"/>
        <w:jc w:val="center"/>
        <w:rPr>
          <w:rFonts w:ascii="Outfit;sans-serif" w:hAnsi="Outfit;sans-serif"/>
          <w:color w:val="000000"/>
          <w:sz w:val="22"/>
        </w:rPr>
      </w:pPr>
      <w:r>
        <w:rPr>
          <w:rFonts w:ascii="Outfit;sans-serif" w:hAnsi="Outfit;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center"/>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Proxy Summary</w:t>
            </w:r>
          </w:p>
          <w:p>
            <w:pPr>
              <w:pStyle w:val="Heading1"/>
              <w:bidi w:val="0"/>
              <w:spacing w:before="240" w:after="283"/>
              <w:jc w:val="center"/>
              <w:rPr/>
            </w:pPr>
            <w:r>
              <w:rPr/>
              <w:t> </w:t>
            </w:r>
          </w:p>
        </w:tc>
      </w:tr>
    </w:tbl>
    <w:p>
      <w:pPr>
        <w:pStyle w:val="TextBody"/>
        <w:bidi w:val="0"/>
        <w:jc w:val="left"/>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Additionally, within the broader community in which we operate, dealerships are known for their charitable giving and community service. As part of our Drive Change program, our Dealer Sponsorship program (initially established in 2017) supports customer requests for us to make financial contributions to dealership charitable events. During 2025 we awarded approximately $271,000 supporting 53 dealerships.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Environmentally Conscious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prioritize responsible action and consider our environmental footprint whenever appropriate. Although our facilities and operations have limited environmental impact, we seek opportunities to enhance our conservation effort – including our LEED Gold-certified headquarters and a commuting stipend for employees encouraging low-carbon-footprint commuting practices. Our Climate Gurus community is an active employee group who takes on initiatives like supporting Earth Day programming, facilitating discussions on reducing environmental impact, and sharing best practices tailored to company needs.</w:t>
      </w:r>
    </w:p>
    <w:p>
      <w:pPr>
        <w:pStyle w:val="TextBody"/>
        <w:bidi w:val="0"/>
        <w:spacing w:before="0" w:after="120"/>
        <w:jc w:val="both"/>
        <w:rPr>
          <w:rFonts w:ascii="Outfit;sans-serif" w:hAnsi="Outfit;sans-serif"/>
          <w:b/>
          <w:color w:val="00002D"/>
          <w:sz w:val="32"/>
        </w:rPr>
      </w:pPr>
      <w:r>
        <w:rPr>
          <w:rFonts w:ascii="Outfit;sans-serif" w:hAnsi="Outfit;sans-serif"/>
          <w:b/>
          <w:color w:val="00002D"/>
          <w:sz w:val="32"/>
        </w:rPr>
        <w:t>Corporate Governance Matters</w:t>
      </w:r>
    </w:p>
    <w:p>
      <w:pPr>
        <w:pStyle w:val="TextBody"/>
        <w:bidi w:val="0"/>
        <w:spacing w:before="0" w:after="120"/>
        <w:jc w:val="both"/>
        <w:rPr>
          <w:rFonts w:ascii="Times New Roman" w:hAnsi="Times New Roman"/>
          <w:sz w:val="20"/>
        </w:rPr>
      </w:pPr>
      <w:r>
        <w:rPr>
          <w:rFonts w:ascii="Outfit;sans-serif" w:hAnsi="Outfit;sans-serif"/>
          <w:color w:val="00002D"/>
          <w:sz w:val="22"/>
        </w:rPr>
        <w:t xml:space="preserve">We are committed to the highest standards of ethics, business integrity, and corporate governance, which we believe will ensure that the Company is managed for the long-term benefit of our stockholders. Our governance practices are designed to establish and preserve accountability of the Board of Directors (the Board) and management, provide a structure that allows the Board to set objectives and monitor performance, ensure the efficient use and accountability of resources, and enhance stockholder value. Please see </w:t>
      </w:r>
      <w:r>
        <w:rPr>
          <w:rFonts w:ascii="Times New Roman" w:hAnsi="Times New Roman"/>
          <w:color w:val="00002D"/>
          <w:sz w:val="20"/>
        </w:rPr>
        <w:t>“</w:t>
      </w:r>
      <w:r>
        <w:rPr>
          <w:rFonts w:ascii="Outfit;sans-serif" w:hAnsi="Outfit;sans-serif"/>
          <w:i/>
          <w:color w:val="00002D"/>
          <w:sz w:val="22"/>
        </w:rPr>
        <w:t>Corporate Governance”</w:t>
      </w:r>
      <w:r>
        <w:rPr>
          <w:rFonts w:ascii="Times New Roman" w:hAnsi="Times New Roman"/>
          <w:color w:val="00002D"/>
          <w:sz w:val="20"/>
        </w:rPr>
        <w:t xml:space="preserve"> </w:t>
      </w:r>
      <w:r>
        <w:rPr>
          <w:rFonts w:ascii="Outfit;sans-serif" w:hAnsi="Outfit;sans-serif"/>
          <w:color w:val="00002D"/>
          <w:sz w:val="22"/>
        </w:rPr>
        <w:t>for more information.</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Corporate Governance Highlights</w:t>
      </w:r>
    </w:p>
    <w:tbl>
      <w:tblPr>
        <w:tblW w:w="10205" w:type="dxa"/>
        <w:jc w:val="left"/>
        <w:tblInd w:w="0" w:type="dxa"/>
        <w:tblLayout w:type="fixed"/>
        <w:tblCellMar>
          <w:top w:w="28" w:type="dxa"/>
          <w:left w:w="28" w:type="dxa"/>
          <w:bottom w:w="28" w:type="dxa"/>
          <w:right w:w="28" w:type="dxa"/>
        </w:tblCellMar>
      </w:tblPr>
      <w:tblGrid>
        <w:gridCol w:w="2451"/>
        <w:gridCol w:w="446"/>
        <w:gridCol w:w="7308"/>
      </w:tblGrid>
      <w:tr>
        <w:trPr/>
        <w:tc>
          <w:tcPr>
            <w:tcW w:w="24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308" w:type="dxa"/>
            <w:tcBorders/>
            <w:vAlign w:val="center"/>
          </w:tcPr>
          <w:p>
            <w:pPr>
              <w:pStyle w:val="TableContents"/>
              <w:bidi w:val="0"/>
              <w:spacing w:before="0" w:after="283"/>
              <w:jc w:val="left"/>
              <w:rPr>
                <w:sz w:val="4"/>
                <w:szCs w:val="4"/>
              </w:rPr>
            </w:pPr>
            <w:r>
              <w:rPr>
                <w:sz w:val="4"/>
                <w:szCs w:val="4"/>
              </w:rPr>
            </w:r>
          </w:p>
        </w:tc>
      </w:tr>
      <w:tr>
        <w:trPr/>
        <w:tc>
          <w:tcPr>
            <w:tcW w:w="2451" w:type="dxa"/>
            <w:vMerge w:val="restart"/>
            <w:tcBorders>
              <w:bottom w:val="single" w:sz="8" w:space="0" w:color="D9E1EB"/>
            </w:tcBorders>
            <w:tcMar>
              <w:top w:w="0" w:type="dxa"/>
              <w:left w:w="0" w:type="dxa"/>
              <w:right w:w="0" w:type="dxa"/>
            </w:tcMar>
            <w:vAlign w:val="center"/>
          </w:tcPr>
          <w:p>
            <w:pPr>
              <w:pStyle w:val="TableContents"/>
              <w:bidi w:val="0"/>
              <w:spacing w:before="0" w:after="120"/>
              <w:jc w:val="both"/>
              <w:rPr>
                <w:rFonts w:ascii="Outfit;sans-serif" w:hAnsi="Outfit;sans-serif"/>
                <w:b/>
                <w:color w:val="3465B0"/>
                <w:sz w:val="22"/>
              </w:rPr>
            </w:pPr>
            <w:r>
              <w:rPr>
                <w:rFonts w:ascii="Outfit;sans-serif" w:hAnsi="Outfit;sans-serif"/>
                <w:b/>
                <w:color w:val="3465B0"/>
                <w:sz w:val="22"/>
              </w:rPr>
              <w:t>Board Practices</w:t>
            </w:r>
          </w:p>
        </w:tc>
        <w:tc>
          <w:tcPr>
            <w:tcW w:w="446" w:type="dxa"/>
            <w:tcBorders>
              <w:bottom w:val="single" w:sz="8"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Classified Board, with annual election of each of three classes of directors</w:t>
            </w:r>
          </w:p>
        </w:tc>
      </w:tr>
      <w:tr>
        <w:trPr/>
        <w:tc>
          <w:tcPr>
            <w:tcW w:w="2451" w:type="dxa"/>
            <w:vMerge w:val="continue"/>
            <w:tcBorders>
              <w:bottom w:val="single" w:sz="8" w:space="0" w:color="D9E1EB"/>
            </w:tcBorders>
            <w:tcMar>
              <w:top w:w="0" w:type="dxa"/>
              <w:left w:w="0" w:type="dxa"/>
              <w:right w:w="0" w:type="dxa"/>
            </w:tcMar>
            <w:vAlign w:val="center"/>
          </w:tcPr>
          <w:p>
            <w:pPr>
              <w:pStyle w:val="Normal"/>
              <w:bidi w:val="0"/>
              <w:jc w:val="left"/>
              <w:rPr/>
            </w:pPr>
            <w:r>
              <w:rPr/>
            </w:r>
          </w:p>
        </w:tc>
        <w:tc>
          <w:tcPr>
            <w:tcW w:w="446" w:type="dxa"/>
            <w:tcBorders>
              <w:bottom w:val="single" w:sz="8"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Board member participation in other public company boards is limited</w:t>
            </w:r>
          </w:p>
        </w:tc>
      </w:tr>
      <w:tr>
        <w:trPr/>
        <w:tc>
          <w:tcPr>
            <w:tcW w:w="2451" w:type="dxa"/>
            <w:vMerge w:val="continue"/>
            <w:tcBorders>
              <w:bottom w:val="single" w:sz="8" w:space="0" w:color="D9E1EB"/>
            </w:tcBorders>
            <w:tcMar>
              <w:top w:w="0" w:type="dxa"/>
              <w:left w:w="0" w:type="dxa"/>
              <w:right w:w="0" w:type="dxa"/>
            </w:tcMar>
            <w:vAlign w:val="center"/>
          </w:tcPr>
          <w:p>
            <w:pPr>
              <w:pStyle w:val="Normal"/>
              <w:bidi w:val="0"/>
              <w:jc w:val="left"/>
              <w:rPr/>
            </w:pPr>
            <w:r>
              <w:rPr/>
            </w:r>
          </w:p>
        </w:tc>
        <w:tc>
          <w:tcPr>
            <w:tcW w:w="446" w:type="dxa"/>
            <w:tcBorders>
              <w:bottom w:val="single" w:sz="8"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Annual Board and committee anonymous self-evaluations</w:t>
            </w:r>
          </w:p>
        </w:tc>
      </w:tr>
      <w:tr>
        <w:trPr/>
        <w:tc>
          <w:tcPr>
            <w:tcW w:w="2451" w:type="dxa"/>
            <w:vMerge w:val="continue"/>
            <w:tcBorders>
              <w:bottom w:val="single" w:sz="8" w:space="0" w:color="D9E1EB"/>
            </w:tcBorders>
            <w:tcMar>
              <w:top w:w="0" w:type="dxa"/>
              <w:left w:w="0" w:type="dxa"/>
              <w:right w:w="0" w:type="dxa"/>
            </w:tcMar>
            <w:vAlign w:val="center"/>
          </w:tcPr>
          <w:p>
            <w:pPr>
              <w:pStyle w:val="Normal"/>
              <w:bidi w:val="0"/>
              <w:jc w:val="left"/>
              <w:rPr/>
            </w:pPr>
            <w:r>
              <w:rPr/>
            </w:r>
          </w:p>
        </w:tc>
        <w:tc>
          <w:tcPr>
            <w:tcW w:w="446" w:type="dxa"/>
            <w:tcBorders>
              <w:bottom w:val="single" w:sz="8" w:space="0" w:color="D9E1EB"/>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28600" cy="228600"/>
                          </a:xfrm>
                          <a:prstGeom prst="rect">
                            <a:avLst/>
                          </a:prstGeom>
                        </pic:spPr>
                      </pic:pic>
                    </a:graphicData>
                  </a:graphic>
                </wp:inline>
              </w:drawing>
            </w:r>
          </w:p>
        </w:tc>
        <w:tc>
          <w:tcPr>
            <w:tcW w:w="7308" w:type="dxa"/>
            <w:tcBorders>
              <w:bottom w:val="single" w:sz="8"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Average age of directors is 56 (as of April 1, 2026)</w:t>
            </w:r>
          </w:p>
        </w:tc>
      </w:tr>
      <w:tr>
        <w:trPr/>
        <w:tc>
          <w:tcPr>
            <w:tcW w:w="2451" w:type="dxa"/>
            <w:vMerge w:val="restart"/>
            <w:tcBorders>
              <w:bottom w:val="single" w:sz="8" w:space="0" w:color="D9E1EB"/>
            </w:tcBorders>
            <w:tcMar>
              <w:top w:w="0" w:type="dxa"/>
              <w:left w:w="0" w:type="dxa"/>
              <w:right w:w="0" w:type="dxa"/>
            </w:tcMar>
            <w:vAlign w:val="center"/>
          </w:tcPr>
          <w:p>
            <w:pPr>
              <w:pStyle w:val="TableContents"/>
              <w:bidi w:val="0"/>
              <w:spacing w:before="0" w:after="120"/>
              <w:jc w:val="both"/>
              <w:rPr>
                <w:rFonts w:ascii="Outfit;sans-serif" w:hAnsi="Outfit;sans-serif"/>
                <w:b/>
                <w:color w:val="3465B0"/>
                <w:sz w:val="22"/>
              </w:rPr>
            </w:pPr>
            <w:r>
              <w:rPr>
                <w:rFonts w:ascii="Outfit;sans-serif" w:hAnsi="Outfit;sans-serif"/>
                <w:b/>
                <w:color w:val="3465B0"/>
                <w:sz w:val="22"/>
              </w:rPr>
              <w:t>Independence</w:t>
            </w:r>
          </w:p>
        </w:tc>
        <w:tc>
          <w:tcPr>
            <w:tcW w:w="446" w:type="dxa"/>
            <w:tcBorders>
              <w:bottom w:val="single" w:sz="8"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Five of seven directors are independent</w:t>
            </w:r>
          </w:p>
        </w:tc>
      </w:tr>
      <w:tr>
        <w:trPr/>
        <w:tc>
          <w:tcPr>
            <w:tcW w:w="2451" w:type="dxa"/>
            <w:vMerge w:val="continue"/>
            <w:tcBorders>
              <w:bottom w:val="single" w:sz="8" w:space="0" w:color="D9E1EB"/>
            </w:tcBorders>
            <w:tcMar>
              <w:top w:w="0" w:type="dxa"/>
              <w:left w:w="0" w:type="dxa"/>
              <w:right w:w="0" w:type="dxa"/>
            </w:tcMar>
            <w:vAlign w:val="center"/>
          </w:tcPr>
          <w:p>
            <w:pPr>
              <w:pStyle w:val="Normal"/>
              <w:bidi w:val="0"/>
              <w:jc w:val="left"/>
              <w:rPr/>
            </w:pPr>
            <w:r>
              <w:rPr/>
            </w:r>
          </w:p>
        </w:tc>
        <w:tc>
          <w:tcPr>
            <w:tcW w:w="446" w:type="dxa"/>
            <w:tcBorders>
              <w:bottom w:val="single" w:sz="8" w:space="0" w:color="000000"/>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All Board committee members are independent</w:t>
            </w:r>
          </w:p>
        </w:tc>
      </w:tr>
      <w:tr>
        <w:trPr/>
        <w:tc>
          <w:tcPr>
            <w:tcW w:w="2451" w:type="dxa"/>
            <w:vMerge w:val="continue"/>
            <w:tcBorders>
              <w:bottom w:val="single" w:sz="8" w:space="0" w:color="D9E1EB"/>
            </w:tcBorders>
            <w:tcMar>
              <w:top w:w="0" w:type="dxa"/>
              <w:left w:w="0" w:type="dxa"/>
              <w:right w:w="0" w:type="dxa"/>
            </w:tcMar>
            <w:vAlign w:val="center"/>
          </w:tcPr>
          <w:p>
            <w:pPr>
              <w:pStyle w:val="Normal"/>
              <w:bidi w:val="0"/>
              <w:jc w:val="left"/>
              <w:rPr/>
            </w:pPr>
            <w:r>
              <w:rPr/>
            </w:r>
          </w:p>
        </w:tc>
        <w:tc>
          <w:tcPr>
            <w:tcW w:w="446" w:type="dxa"/>
            <w:tcBorders>
              <w:bottom w:val="single" w:sz="8" w:space="0" w:color="D9E1EB"/>
            </w:tcBorders>
            <w:tcMar>
              <w:top w:w="0" w:type="dxa"/>
              <w:left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28600" cy="228600"/>
                          </a:xfrm>
                          <a:prstGeom prst="rect">
                            <a:avLst/>
                          </a:prstGeom>
                        </pic:spPr>
                      </pic:pic>
                    </a:graphicData>
                  </a:graphic>
                </wp:inline>
              </w:drawing>
            </w:r>
          </w:p>
        </w:tc>
        <w:tc>
          <w:tcPr>
            <w:tcW w:w="7308" w:type="dxa"/>
            <w:tcBorders>
              <w:bottom w:val="single" w:sz="8" w:space="0" w:color="D9E1EB"/>
            </w:tcBorders>
            <w:tcMar>
              <w:top w:w="0" w:type="dxa"/>
              <w:left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Regular executive sessions of independent directors</w:t>
            </w:r>
          </w:p>
        </w:tc>
      </w:tr>
      <w:tr>
        <w:trPr/>
        <w:tc>
          <w:tcPr>
            <w:tcW w:w="2451" w:type="dxa"/>
            <w:vMerge w:val="restart"/>
            <w:tcBorders/>
            <w:tcMar>
              <w:top w:w="0" w:type="dxa"/>
              <w:left w:w="0" w:type="dxa"/>
              <w:bottom w:w="0" w:type="dxa"/>
              <w:right w:w="0" w:type="dxa"/>
            </w:tcMar>
            <w:vAlign w:val="center"/>
          </w:tcPr>
          <w:p>
            <w:pPr>
              <w:pStyle w:val="TableContents"/>
              <w:bidi w:val="0"/>
              <w:spacing w:before="0" w:after="120"/>
              <w:jc w:val="left"/>
              <w:rPr>
                <w:rFonts w:ascii="Outfit;sans-serif" w:hAnsi="Outfit;sans-serif"/>
                <w:b/>
                <w:color w:val="3465B0"/>
                <w:sz w:val="22"/>
              </w:rPr>
            </w:pPr>
            <w:r>
              <w:rPr>
                <w:rFonts w:ascii="Outfit;sans-serif" w:hAnsi="Outfit;sans-serif"/>
                <w:b/>
                <w:color w:val="3465B0"/>
                <w:sz w:val="22"/>
              </w:rPr>
              <w:t>Active Board Oversight</w:t>
            </w:r>
          </w:p>
        </w:tc>
        <w:tc>
          <w:tcPr>
            <w:tcW w:w="446" w:type="dxa"/>
            <w:tcBorders/>
            <w:tcMar>
              <w:top w:w="0" w:type="dxa"/>
              <w:left w:w="0" w:type="dxa"/>
              <w:bottom w:w="0" w:type="dxa"/>
              <w:right w:w="0" w:type="dxa"/>
            </w:tcMar>
            <w:vAlign w:val="center"/>
          </w:tcPr>
          <w:p>
            <w:pPr>
              <w:pStyle w:val="TableContents"/>
              <w:bidi w:val="0"/>
              <w:spacing w:before="120" w:after="60"/>
              <w:jc w:val="center"/>
              <w:rPr/>
            </w:pPr>
            <w:r>
              <w:rPr/>
              <w:drawing>
                <wp:inline distT="0" distB="0" distL="0" distR="0">
                  <wp:extent cx="228600" cy="228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Full Board responsible for risk oversight, with specific areas delegated to relevant Board committees</w:t>
            </w:r>
          </w:p>
        </w:tc>
      </w:tr>
      <w:tr>
        <w:trPr/>
        <w:tc>
          <w:tcPr>
            <w:tcW w:w="2451" w:type="dxa"/>
            <w:vMerge w:val="continue"/>
            <w:tcBorders/>
            <w:tcMar>
              <w:top w:w="0" w:type="dxa"/>
              <w:left w:w="0" w:type="dxa"/>
              <w:bottom w:w="0" w:type="dxa"/>
              <w:right w:w="0" w:type="dxa"/>
            </w:tcMar>
            <w:vAlign w:val="center"/>
          </w:tcPr>
          <w:p>
            <w:pPr>
              <w:pStyle w:val="Normal"/>
              <w:bidi w:val="0"/>
              <w:jc w:val="left"/>
              <w:rPr/>
            </w:pPr>
            <w:r>
              <w:rPr/>
            </w:r>
          </w:p>
        </w:tc>
        <w:tc>
          <w:tcPr>
            <w:tcW w:w="446" w:type="dxa"/>
            <w:tcBorders>
              <w:top w:val="single" w:sz="8" w:space="0" w:color="000000"/>
            </w:tcBorders>
            <w:tcMar>
              <w:left w:w="0" w:type="dxa"/>
              <w:bottom w:w="0" w:type="dxa"/>
              <w:right w:w="0" w:type="dxa"/>
            </w:tcMar>
            <w:vAlign w:val="center"/>
          </w:tcPr>
          <w:p>
            <w:pPr>
              <w:pStyle w:val="TableContents"/>
              <w:bidi w:val="0"/>
              <w:spacing w:before="120" w:after="40"/>
              <w:jc w:val="center"/>
              <w:rPr/>
            </w:pPr>
            <w:r>
              <w:rPr/>
              <w:drawing>
                <wp:inline distT="0" distB="0" distL="0" distR="0">
                  <wp:extent cx="228600" cy="228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Directors attended an average of 99% of Board and committee meetings in 2025</w:t>
            </w:r>
          </w:p>
        </w:tc>
      </w:tr>
      <w:tr>
        <w:trPr/>
        <w:tc>
          <w:tcPr>
            <w:tcW w:w="2451" w:type="dxa"/>
            <w:vMerge w:val="continue"/>
            <w:tcBorders/>
            <w:tcMar>
              <w:top w:w="0" w:type="dxa"/>
              <w:left w:w="0" w:type="dxa"/>
              <w:bottom w:w="0" w:type="dxa"/>
              <w:right w:w="0" w:type="dxa"/>
            </w:tcMar>
            <w:vAlign w:val="center"/>
          </w:tcPr>
          <w:p>
            <w:pPr>
              <w:pStyle w:val="Normal"/>
              <w:bidi w:val="0"/>
              <w:jc w:val="left"/>
              <w:rPr/>
            </w:pPr>
            <w:r>
              <w:rPr/>
            </w:r>
          </w:p>
        </w:tc>
        <w:tc>
          <w:tcPr>
            <w:tcW w:w="446" w:type="dxa"/>
            <w:tcBorders>
              <w:top w:val="single" w:sz="8" w:space="0" w:color="000000"/>
            </w:tcBorders>
            <w:tcMar>
              <w:left w:w="0" w:type="dxa"/>
              <w:bottom w:w="0" w:type="dxa"/>
              <w:right w:w="0" w:type="dxa"/>
            </w:tcMar>
            <w:vAlign w:val="center"/>
          </w:tcPr>
          <w:p>
            <w:pPr>
              <w:pStyle w:val="TableContents"/>
              <w:bidi w:val="0"/>
              <w:spacing w:before="120" w:after="40"/>
              <w:jc w:val="center"/>
              <w:rPr/>
            </w:pPr>
            <w:r>
              <w:rPr/>
              <w:drawing>
                <wp:inline distT="0" distB="0" distL="0" distR="0">
                  <wp:extent cx="228600" cy="228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Code of Conduct applicable to all directors, officers, and employees, with certification and annual compliance training</w:t>
            </w:r>
          </w:p>
        </w:tc>
      </w:tr>
      <w:tr>
        <w:trPr/>
        <w:tc>
          <w:tcPr>
            <w:tcW w:w="2451" w:type="dxa"/>
            <w:vMerge w:val="continue"/>
            <w:tcBorders/>
            <w:tcMar>
              <w:top w:w="0" w:type="dxa"/>
              <w:left w:w="0" w:type="dxa"/>
              <w:bottom w:w="0" w:type="dxa"/>
              <w:right w:w="0" w:type="dxa"/>
            </w:tcMar>
            <w:vAlign w:val="center"/>
          </w:tcPr>
          <w:p>
            <w:pPr>
              <w:pStyle w:val="Normal"/>
              <w:bidi w:val="0"/>
              <w:jc w:val="left"/>
              <w:rPr/>
            </w:pPr>
            <w:r>
              <w:rPr/>
            </w:r>
          </w:p>
        </w:tc>
        <w:tc>
          <w:tcPr>
            <w:tcW w:w="446" w:type="dxa"/>
            <w:tcBorders>
              <w:top w:val="single" w:sz="8" w:space="0" w:color="000000"/>
            </w:tcBorders>
            <w:tcMar>
              <w:left w:w="0" w:type="dxa"/>
              <w:bottom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Related Person Transaction Policy with oversight by the Audit Committee</w:t>
            </w:r>
          </w:p>
        </w:tc>
      </w:tr>
      <w:tr>
        <w:trPr/>
        <w:tc>
          <w:tcPr>
            <w:tcW w:w="2451" w:type="dxa"/>
            <w:vMerge w:val="continue"/>
            <w:tcBorders/>
            <w:tcMar>
              <w:top w:w="0" w:type="dxa"/>
              <w:left w:w="0" w:type="dxa"/>
              <w:bottom w:w="0" w:type="dxa"/>
              <w:right w:w="0" w:type="dxa"/>
            </w:tcMar>
            <w:vAlign w:val="center"/>
          </w:tcPr>
          <w:p>
            <w:pPr>
              <w:pStyle w:val="Normal"/>
              <w:bidi w:val="0"/>
              <w:jc w:val="left"/>
              <w:rPr/>
            </w:pPr>
            <w:r>
              <w:rPr/>
            </w:r>
          </w:p>
        </w:tc>
        <w:tc>
          <w:tcPr>
            <w:tcW w:w="446" w:type="dxa"/>
            <w:tcBorders>
              <w:top w:val="single" w:sz="8" w:space="0" w:color="000000"/>
            </w:tcBorders>
            <w:tcMar>
              <w:left w:w="0" w:type="dxa"/>
              <w:bottom w:w="0" w:type="dxa"/>
              <w:right w:w="0" w:type="dxa"/>
            </w:tcMar>
            <w:vAlign w:val="center"/>
          </w:tcPr>
          <w:p>
            <w:pPr>
              <w:pStyle w:val="TableContents"/>
              <w:bidi w:val="0"/>
              <w:spacing w:before="40" w:after="40"/>
              <w:jc w:val="center"/>
              <w:rPr/>
            </w:pPr>
            <w:r>
              <w:rPr/>
              <w:drawing>
                <wp:inline distT="0" distB="0" distL="0" distR="0">
                  <wp:extent cx="228600" cy="228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28600" cy="228600"/>
                          </a:xfrm>
                          <a:prstGeom prst="rect">
                            <a:avLst/>
                          </a:prstGeom>
                        </pic:spPr>
                      </pic:pic>
                    </a:graphicData>
                  </a:graphic>
                </wp:inline>
              </w:drawing>
            </w:r>
          </w:p>
        </w:tc>
        <w:tc>
          <w:tcPr>
            <w:tcW w:w="7308" w:type="dxa"/>
            <w:tcBorders/>
            <w:tcMar>
              <w:top w:w="0" w:type="dxa"/>
              <w:left w:w="0" w:type="dxa"/>
              <w:bottom w:w="0" w:type="dxa"/>
              <w:right w:w="0" w:type="dxa"/>
            </w:tcMar>
            <w:vAlign w:val="center"/>
          </w:tcPr>
          <w:p>
            <w:pPr>
              <w:pStyle w:val="TableContents"/>
              <w:bidi w:val="0"/>
              <w:spacing w:before="60" w:after="60"/>
              <w:jc w:val="both"/>
              <w:rPr>
                <w:rFonts w:ascii="Outfit;sans-serif" w:hAnsi="Outfit;sans-serif"/>
                <w:color w:val="00002D"/>
                <w:sz w:val="22"/>
              </w:rPr>
            </w:pPr>
            <w:r>
              <w:rPr>
                <w:rFonts w:ascii="Outfit;sans-serif" w:hAnsi="Outfit;sans-serif"/>
                <w:color w:val="00002D"/>
                <w:sz w:val="22"/>
              </w:rPr>
              <w:t>Strong corporate governance guidelines and policies</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center"/>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Proxy Summary</w:t>
            </w:r>
          </w:p>
          <w:p>
            <w:pPr>
              <w:pStyle w:val="Heading1"/>
              <w:bidi w:val="0"/>
              <w:spacing w:before="240" w:after="283"/>
              <w:jc w:val="center"/>
              <w:rPr/>
            </w:pPr>
            <w:r>
              <w:rPr/>
              <w:t> </w:t>
            </w:r>
          </w:p>
        </w:tc>
      </w:tr>
    </w:tbl>
    <w:p>
      <w:pPr>
        <w:pStyle w:val="TextBody"/>
        <w:bidi w:val="0"/>
        <w:jc w:val="left"/>
        <w:rPr/>
      </w:pPr>
      <w:r>
        <w:rPr/>
        <w:t> </w:t>
      </w:r>
    </w:p>
    <w:p>
      <w:pPr>
        <w:pStyle w:val="TextBody"/>
        <w:bidi w:val="0"/>
        <w:spacing w:before="120" w:after="120"/>
        <w:jc w:val="both"/>
        <w:rPr>
          <w:rFonts w:ascii="Outfit;sans-serif" w:hAnsi="Outfit;sans-serif"/>
          <w:b/>
          <w:color w:val="00002D"/>
          <w:sz w:val="32"/>
        </w:rPr>
      </w:pPr>
      <w:r>
        <w:rPr>
          <w:rFonts w:ascii="Outfit;sans-serif" w:hAnsi="Outfit;sans-serif"/>
          <w:b/>
          <w:color w:val="00002D"/>
          <w:sz w:val="32"/>
        </w:rPr>
        <w:t>Executive Compensation Matters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executive compensation program embodies a pay-for-performance philosophy that supports our business strategy and aligns executive interests with those of our stockholders. Highlights of our executive compensation best practices include:</w:t>
      </w:r>
    </w:p>
    <w:tbl>
      <w:tblPr>
        <w:tblW w:w="10205" w:type="dxa"/>
        <w:jc w:val="left"/>
        <w:tblInd w:w="0" w:type="dxa"/>
        <w:tblLayout w:type="fixed"/>
        <w:tblCellMar>
          <w:top w:w="28" w:type="dxa"/>
          <w:left w:w="28" w:type="dxa"/>
          <w:bottom w:w="28" w:type="dxa"/>
          <w:right w:w="28" w:type="dxa"/>
        </w:tblCellMar>
      </w:tblPr>
      <w:tblGrid>
        <w:gridCol w:w="491"/>
        <w:gridCol w:w="3789"/>
        <w:gridCol w:w="146"/>
        <w:gridCol w:w="476"/>
        <w:gridCol w:w="5303"/>
      </w:tblGrid>
      <w:tr>
        <w:trPr/>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37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shd w:fill="FFFFFF" w:val="clear"/>
            <w:vAlign w:val="center"/>
          </w:tcPr>
          <w:p>
            <w:pPr>
              <w:pStyle w:val="TableContents"/>
              <w:bidi w:val="0"/>
              <w:spacing w:before="0" w:after="283"/>
              <w:jc w:val="left"/>
              <w:rPr>
                <w:sz w:val="4"/>
                <w:szCs w:val="4"/>
              </w:rPr>
            </w:pPr>
            <w:r>
              <w:rPr>
                <w:sz w:val="4"/>
                <w:szCs w:val="4"/>
              </w:rPr>
            </w:r>
          </w:p>
        </w:tc>
        <w:tc>
          <w:tcPr>
            <w:tcW w:w="5303" w:type="dxa"/>
            <w:tcBorders/>
            <w:shd w:fill="FFFFFF" w:val="clear"/>
            <w:vAlign w:val="center"/>
          </w:tcPr>
          <w:p>
            <w:pPr>
              <w:pStyle w:val="TableContents"/>
              <w:bidi w:val="0"/>
              <w:spacing w:before="0" w:after="283"/>
              <w:jc w:val="left"/>
              <w:rPr>
                <w:sz w:val="4"/>
                <w:szCs w:val="4"/>
              </w:rPr>
            </w:pPr>
            <w:r>
              <w:rPr>
                <w:sz w:val="4"/>
                <w:szCs w:val="4"/>
              </w:rPr>
            </w:r>
          </w:p>
        </w:tc>
      </w:tr>
      <w:tr>
        <w:trPr/>
        <w:tc>
          <w:tcPr>
            <w:tcW w:w="4280" w:type="dxa"/>
            <w:gridSpan w:val="2"/>
            <w:tcBorders/>
            <w:shd w:fill="E4F6FF" w:val="clear"/>
            <w:tcMar>
              <w:top w:w="0" w:type="dxa"/>
              <w:left w:w="0" w:type="dxa"/>
              <w:bottom w:w="0" w:type="dxa"/>
              <w:right w:w="0" w:type="dxa"/>
            </w:tcMar>
            <w:vAlign w:val="center"/>
          </w:tcPr>
          <w:p>
            <w:pPr>
              <w:pStyle w:val="TableContents"/>
              <w:bidi w:val="0"/>
              <w:spacing w:before="60" w:after="60"/>
              <w:jc w:val="center"/>
              <w:rPr>
                <w:rFonts w:ascii="Outfit;sans-serif" w:hAnsi="Outfit;sans-serif"/>
                <w:b/>
                <w:color w:val="3465B0"/>
                <w:sz w:val="24"/>
              </w:rPr>
            </w:pPr>
            <w:r>
              <w:rPr>
                <w:rFonts w:ascii="Outfit;sans-serif" w:hAnsi="Outfit;sans-serif"/>
                <w:b/>
                <w:color w:val="3465B0"/>
                <w:sz w:val="24"/>
              </w:rPr>
              <w:t>What We Do</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5779" w:type="dxa"/>
            <w:gridSpan w:val="2"/>
            <w:tcBorders/>
            <w:shd w:fill="E4F6FF" w:val="clear"/>
            <w:tcMar>
              <w:top w:w="0" w:type="dxa"/>
              <w:left w:w="0" w:type="dxa"/>
              <w:bottom w:w="0" w:type="dxa"/>
              <w:right w:w="0" w:type="dxa"/>
            </w:tcMar>
            <w:vAlign w:val="center"/>
          </w:tcPr>
          <w:p>
            <w:pPr>
              <w:pStyle w:val="TableContents"/>
              <w:bidi w:val="0"/>
              <w:spacing w:before="60" w:after="60"/>
              <w:jc w:val="center"/>
              <w:rPr>
                <w:rFonts w:ascii="Outfit;sans-serif" w:hAnsi="Outfit;sans-serif"/>
                <w:b/>
                <w:color w:val="3465B0"/>
                <w:sz w:val="24"/>
              </w:rPr>
            </w:pPr>
            <w:r>
              <w:rPr>
                <w:rFonts w:ascii="Outfit;sans-serif" w:hAnsi="Outfit;sans-serif"/>
                <w:b/>
                <w:color w:val="3465B0"/>
                <w:sz w:val="24"/>
              </w:rPr>
              <w:t>What We Don’t Do</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Annual executive compensation review</w:t>
            </w:r>
          </w:p>
        </w:tc>
        <w:tc>
          <w:tcPr>
            <w:tcW w:w="146" w:type="dxa"/>
            <w:tcBorders/>
            <w:tcMar>
              <w:top w:w="0" w:type="dxa"/>
              <w:left w:w="0" w:type="dxa"/>
              <w:bottom w:w="0" w:type="dxa"/>
              <w:right w:w="0" w:type="dxa"/>
            </w:tcMar>
            <w:vAlign w:val="center"/>
          </w:tcPr>
          <w:p>
            <w:pPr>
              <w:pStyle w:val="TableContents"/>
              <w:bidi w:val="0"/>
              <w:spacing w:before="60" w:after="60"/>
              <w:jc w:val="both"/>
              <w:rPr/>
            </w:pPr>
            <w:r>
              <w:rPr/>
              <w:t> </w:t>
            </w:r>
          </w:p>
        </w:tc>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47650" cy="247650"/>
                          </a:xfrm>
                          <a:prstGeom prst="rect">
                            <a:avLst/>
                          </a:prstGeom>
                        </pic:spPr>
                      </pic:pic>
                    </a:graphicData>
                  </a:graphic>
                </wp:inline>
              </w:drawing>
            </w:r>
          </w:p>
        </w:tc>
        <w:tc>
          <w:tcPr>
            <w:tcW w:w="5303"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No retirement plans other than standard plans offered to all employees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Compensation risk oversight</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28600" cy="2286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28600" cy="228600"/>
                          </a:xfrm>
                          <a:prstGeom prst="rect">
                            <a:avLst/>
                          </a:prstGeom>
                        </pic:spPr>
                      </pic:pic>
                    </a:graphicData>
                  </a:graphic>
                </wp:inline>
              </w:drawing>
            </w:r>
          </w:p>
        </w:tc>
        <w:tc>
          <w:tcPr>
            <w:tcW w:w="5303"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Limited perquisites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Independent compensation advisor</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28600" cy="2286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28600" cy="228600"/>
                          </a:xfrm>
                          <a:prstGeom prst="rect">
                            <a:avLst/>
                          </a:prstGeom>
                        </pic:spPr>
                      </pic:pic>
                    </a:graphicData>
                  </a:graphic>
                </wp:inline>
              </w:drawing>
            </w:r>
          </w:p>
        </w:tc>
        <w:tc>
          <w:tcPr>
            <w:tcW w:w="5303"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No change-of-control-related tax “gross-ups”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Incentive compensation at risk</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28600" cy="2286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28600" cy="228600"/>
                          </a:xfrm>
                          <a:prstGeom prst="rect">
                            <a:avLst/>
                          </a:prstGeom>
                        </pic:spPr>
                      </pic:pic>
                    </a:graphicData>
                  </a:graphic>
                </wp:inline>
              </w:drawing>
            </w:r>
          </w:p>
        </w:tc>
        <w:tc>
          <w:tcPr>
            <w:tcW w:w="5303"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No cash severance payments for executives arising solely as a result of a change-of-control</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Equity-based compensation</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28600" cy="2286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28600" cy="228600"/>
                          </a:xfrm>
                          <a:prstGeom prst="rect">
                            <a:avLst/>
                          </a:prstGeom>
                        </pic:spPr>
                      </pic:pic>
                    </a:graphicData>
                  </a:graphic>
                </wp:inline>
              </w:drawing>
            </w:r>
          </w:p>
        </w:tc>
        <w:tc>
          <w:tcPr>
            <w:tcW w:w="5303"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Hedging and pledging prohibitions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color w:val="000000"/>
              </w:rPr>
            </w:pPr>
            <w:r>
              <w:rPr>
                <w:color w:val="000000"/>
              </w:rPr>
              <w:t>“</w:t>
            </w:r>
            <w:r>
              <w:rPr>
                <w:rFonts w:ascii="Outfit;sans-serif" w:hAnsi="Outfit;sans-serif"/>
                <w:color w:val="000000"/>
                <w:sz w:val="22"/>
              </w:rPr>
              <w:t>Double Trigger” change-of-control provisions in executive equity awards</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0" w:after="120"/>
              <w:jc w:val="both"/>
              <w:rPr/>
            </w:pPr>
            <w:r>
              <w:rPr/>
              <w:t> </w:t>
            </w:r>
          </w:p>
        </w:tc>
        <w:tc>
          <w:tcPr>
            <w:tcW w:w="5303" w:type="dxa"/>
            <w:tcBorders/>
            <w:tcMar>
              <w:top w:w="0" w:type="dxa"/>
              <w:left w:w="0" w:type="dxa"/>
              <w:bottom w:w="0" w:type="dxa"/>
              <w:right w:w="0" w:type="dxa"/>
            </w:tcMar>
            <w:vAlign w:val="center"/>
          </w:tcPr>
          <w:p>
            <w:pPr>
              <w:pStyle w:val="TableContents"/>
              <w:bidi w:val="0"/>
              <w:spacing w:before="0" w:after="120"/>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Health and welfare benefits</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0" w:after="120"/>
              <w:jc w:val="both"/>
              <w:rPr/>
            </w:pPr>
            <w:r>
              <w:rPr/>
              <w:t> </w:t>
            </w:r>
          </w:p>
        </w:tc>
        <w:tc>
          <w:tcPr>
            <w:tcW w:w="5303" w:type="dxa"/>
            <w:tcBorders/>
            <w:tcMar>
              <w:top w:w="0" w:type="dxa"/>
              <w:left w:w="0" w:type="dxa"/>
              <w:bottom w:w="0" w:type="dxa"/>
              <w:right w:w="0" w:type="dxa"/>
            </w:tcMar>
            <w:vAlign w:val="center"/>
          </w:tcPr>
          <w:p>
            <w:pPr>
              <w:pStyle w:val="TableContents"/>
              <w:bidi w:val="0"/>
              <w:spacing w:before="0" w:after="120"/>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47650" cy="247650"/>
                          </a:xfrm>
                          <a:prstGeom prst="rect">
                            <a:avLst/>
                          </a:prstGeom>
                        </pic:spPr>
                      </pic:pic>
                    </a:graphicData>
                  </a:graphic>
                </wp:inline>
              </w:drawing>
            </w:r>
          </w:p>
        </w:tc>
        <w:tc>
          <w:tcPr>
            <w:tcW w:w="3789" w:type="dxa"/>
            <w:tcBorders/>
            <w:tcMar>
              <w:top w:w="0" w:type="dxa"/>
              <w:left w:w="0" w:type="dxa"/>
              <w:bottom w:w="0" w:type="dxa"/>
              <w:right w:w="0" w:type="dxa"/>
            </w:tcMar>
            <w:vAlign w:val="center"/>
          </w:tcPr>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Compensation Clawback Policy</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476" w:type="dxa"/>
            <w:tcBorders/>
            <w:tcMar>
              <w:top w:w="0" w:type="dxa"/>
              <w:left w:w="0" w:type="dxa"/>
              <w:bottom w:w="0" w:type="dxa"/>
              <w:right w:w="0" w:type="dxa"/>
            </w:tcMar>
            <w:vAlign w:val="center"/>
          </w:tcPr>
          <w:p>
            <w:pPr>
              <w:pStyle w:val="TableContents"/>
              <w:bidi w:val="0"/>
              <w:spacing w:before="0" w:after="120"/>
              <w:jc w:val="both"/>
              <w:rPr/>
            </w:pPr>
            <w:r>
              <w:rPr/>
              <w:t> </w:t>
            </w:r>
          </w:p>
        </w:tc>
        <w:tc>
          <w:tcPr>
            <w:tcW w:w="5303" w:type="dxa"/>
            <w:tcBorders/>
            <w:tcMar>
              <w:top w:w="0" w:type="dxa"/>
              <w:left w:w="0" w:type="dxa"/>
              <w:bottom w:w="0" w:type="dxa"/>
              <w:right w:w="0" w:type="dxa"/>
            </w:tcMar>
            <w:vAlign w:val="center"/>
          </w:tcPr>
          <w:p>
            <w:pPr>
              <w:pStyle w:val="TableContents"/>
              <w:bidi w:val="0"/>
              <w:spacing w:before="0" w:after="120"/>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Corporate Governance</w:t>
            </w:r>
          </w:p>
          <w:p>
            <w:pPr>
              <w:pStyle w:val="Heading1"/>
              <w:bidi w:val="0"/>
              <w:spacing w:before="240" w:after="283"/>
              <w:jc w:val="center"/>
              <w:rPr/>
            </w:pPr>
            <w:r>
              <w:rPr/>
              <w:t> </w:t>
            </w:r>
          </w:p>
        </w:tc>
      </w:tr>
    </w:tbl>
    <w:p>
      <w:pPr>
        <w:pStyle w:val="TextBody"/>
        <w:bidi w:val="0"/>
        <w:jc w:val="left"/>
        <w:rPr/>
      </w:pPr>
      <w:r>
        <w:rPr/>
        <w:t> </w:t>
      </w:r>
    </w:p>
    <w:p>
      <w:pPr>
        <w:pStyle w:val="TextBody"/>
        <w:bidi w:val="0"/>
        <w:spacing w:before="120" w:after="120"/>
        <w:jc w:val="both"/>
        <w:rPr>
          <w:rFonts w:ascii="Times New Roman" w:hAnsi="Times New Roman"/>
          <w:sz w:val="20"/>
        </w:rPr>
      </w:pPr>
      <w:bookmarkStart w:id="4" w:name="corporate_governance"/>
      <w:bookmarkEnd w:id="4"/>
      <w:r>
        <w:rPr>
          <w:rFonts w:ascii="Outfit;sans-serif" w:hAnsi="Outfit;sans-serif"/>
          <w:b/>
          <w:color w:val="00002D"/>
          <w:sz w:val="32"/>
        </w:rPr>
        <w:t xml:space="preserve">Corporate </w:t>
      </w:r>
      <w:bookmarkStart w:id="5" w:name="corporate_governance_practices"/>
      <w:bookmarkEnd w:id="5"/>
      <w:r>
        <w:rPr>
          <w:rFonts w:ascii="Outfit;sans-serif" w:hAnsi="Outfit;sans-serif"/>
          <w:b/>
          <w:color w:val="00002D"/>
          <w:sz w:val="32"/>
        </w:rPr>
        <w:t>Governance Practices</w:t>
      </w:r>
      <w:r>
        <w:rPr>
          <w:rFonts w:ascii="Times New Roman" w:hAnsi="Times New Roman"/>
          <w:color w:val="00002D"/>
          <w:sz w:val="20"/>
        </w:rPr>
        <w:t xml:space="preserve"> </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Corporate Governance Matters</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The Board has adopted key guidelines, including our Code of Conduct and Corporate Governance Guidelines, to ensure good corporate governance, which it believes is important to ensure that the Company is managed for the long-term benefit of our stockholders. Complete copies of our Audit Committee Charter, Compensation Committee Charter, Corporate Governance Guidelines, and Code of Conduct are available on the Investor Relations section of our website, </w:t>
      </w:r>
      <w:r>
        <w:rPr>
          <w:rFonts w:ascii="Outfit;sans-serif" w:hAnsi="Outfit;sans-serif"/>
          <w:i/>
          <w:color w:val="000000"/>
          <w:sz w:val="22"/>
        </w:rPr>
        <w:t xml:space="preserve">investors.cargurus.com, </w:t>
      </w:r>
      <w:r>
        <w:rPr>
          <w:rFonts w:ascii="Outfit;sans-serif" w:hAnsi="Outfit;sans-serif"/>
          <w:color w:val="000000"/>
          <w:sz w:val="22"/>
        </w:rPr>
        <w:t>at “Governance.” Alternatively, you can request a copy of any of these documents by writing us at:</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CarGurus, Inc.</w:t>
      </w:r>
    </w:p>
    <w:p>
      <w:pPr>
        <w:pStyle w:val="TextBody"/>
        <w:bidi w:val="0"/>
        <w:jc w:val="center"/>
        <w:rPr>
          <w:rFonts w:ascii="Outfit;sans-serif" w:hAnsi="Outfit;sans-serif"/>
          <w:color w:val="000000"/>
          <w:sz w:val="22"/>
        </w:rPr>
      </w:pPr>
      <w:r>
        <w:rPr>
          <w:rFonts w:ascii="Outfit;sans-serif" w:hAnsi="Outfit;sans-serif"/>
          <w:color w:val="000000"/>
          <w:sz w:val="22"/>
        </w:rPr>
        <w:t>Attn: Investor Relations</w:t>
      </w:r>
    </w:p>
    <w:p>
      <w:pPr>
        <w:pStyle w:val="TextBody"/>
        <w:bidi w:val="0"/>
        <w:jc w:val="center"/>
        <w:rPr>
          <w:rFonts w:ascii="Times New Roman" w:hAnsi="Times New Roman"/>
          <w:sz w:val="20"/>
        </w:rPr>
      </w:pPr>
      <w:r>
        <w:rPr>
          <w:rFonts w:ascii="Outfit;sans-serif" w:hAnsi="Outfit;sans-serif"/>
          <w:color w:val="000000"/>
          <w:sz w:val="22"/>
        </w:rPr>
        <w:t>1001 Boylston Street, 16</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Floor</w:t>
      </w:r>
    </w:p>
    <w:p>
      <w:pPr>
        <w:pStyle w:val="TextBody"/>
        <w:bidi w:val="0"/>
        <w:spacing w:before="0" w:after="120"/>
        <w:jc w:val="center"/>
        <w:rPr>
          <w:rFonts w:ascii="Outfit;sans-serif" w:hAnsi="Outfit;sans-serif"/>
          <w:color w:val="000000"/>
          <w:sz w:val="22"/>
        </w:rPr>
      </w:pPr>
      <w:r>
        <w:rPr>
          <w:rFonts w:ascii="Outfit;sans-serif" w:hAnsi="Outfit;sans-serif"/>
          <w:color w:val="000000"/>
          <w:sz w:val="22"/>
        </w:rPr>
        <w:t>Boston, Massachusetts 02115</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Code of Conduct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Code of Conduct applies to all employees, officers, and directors of CarGurus, Inc., our subsidiaries, and our affiliates, including our Executive Chair, Chief Executive Officer, Chief Financial Officer, and other executive and senior financial officers. Amendments to our Code of Conduct, and any waivers of its requirements, will be disclosed on our website.</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Corporate Governance Guidelines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has Corporate Governance Guidelines to assist it in the exercise of its duties and responsibilities and to serve the best interests of the Company and our stockholders. These guidelines, which set forth a framework for the conduct of the Board’s business, provide that:</w:t>
      </w:r>
    </w:p>
    <w:tbl>
      <w:tblPr>
        <w:tblW w:w="10205" w:type="dxa"/>
        <w:jc w:val="left"/>
        <w:tblInd w:w="0" w:type="dxa"/>
        <w:tblLayout w:type="fixed"/>
        <w:tblCellMar>
          <w:top w:w="28" w:type="dxa"/>
          <w:left w:w="28" w:type="dxa"/>
          <w:bottom w:w="28" w:type="dxa"/>
          <w:right w:w="28" w:type="dxa"/>
        </w:tblCellMar>
      </w:tblPr>
      <w:tblGrid>
        <w:gridCol w:w="4364"/>
        <w:gridCol w:w="506"/>
        <w:gridCol w:w="5335"/>
      </w:tblGrid>
      <w:tr>
        <w:trPr/>
        <w:tc>
          <w:tcPr>
            <w:tcW w:w="436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33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364"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the Board’s primary responsibility is to oversee, counsel, and direct our management in the interest and for the benefit of our stockholders</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335"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ind w:left="0" w:right="0" w:firstLine="360"/>
              <w:jc w:val="left"/>
              <w:rPr>
                <w:rFonts w:ascii="Outfit;sans-serif" w:hAnsi="Outfit;sans-serif"/>
                <w:color w:val="000000"/>
                <w:sz w:val="22"/>
              </w:rPr>
            </w:pPr>
            <w:r>
              <w:rPr>
                <w:rFonts w:ascii="Outfit;sans-serif" w:hAnsi="Outfit;sans-serif"/>
                <w:color w:val="000000"/>
                <w:sz w:val="22"/>
              </w:rPr>
              <w:t>the Board has the authority to retain outside counsel, experts, and other advisors as it determines appropriate</w:t>
            </w:r>
          </w:p>
        </w:tc>
      </w:tr>
      <w:tr>
        <w:trPr/>
        <w:tc>
          <w:tcPr>
            <w:tcW w:w="4364"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a majority of the members of the Board must be independent directors (unless otherwise permitted by the rules and regulations of the Nasdaq Stock Market (Nasdaq))</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335"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ind w:left="0" w:right="0" w:firstLine="360"/>
              <w:jc w:val="left"/>
              <w:rPr>
                <w:rFonts w:ascii="Outfit;sans-serif" w:hAnsi="Outfit;sans-serif"/>
                <w:color w:val="000000"/>
                <w:sz w:val="22"/>
              </w:rPr>
            </w:pPr>
            <w:r>
              <w:rPr>
                <w:rFonts w:ascii="Outfit;sans-serif" w:hAnsi="Outfit;sans-serif"/>
                <w:color w:val="000000"/>
                <w:sz w:val="22"/>
              </w:rPr>
              <w:t>new directors receive access to information and meetings with management to familiarize them with our business, operations, risk management and accounting issues, finances, and governance practices (including our Code of Conduct)</w:t>
            </w:r>
          </w:p>
        </w:tc>
      </w:tr>
      <w:tr>
        <w:trPr/>
        <w:tc>
          <w:tcPr>
            <w:tcW w:w="4364"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the non-management directors meet at least semi-annually in executive session</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335"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ind w:left="0" w:right="0" w:firstLine="360"/>
              <w:jc w:val="left"/>
              <w:rPr>
                <w:rFonts w:ascii="Outfit;sans-serif" w:hAnsi="Outfit;sans-serif"/>
                <w:color w:val="000000"/>
                <w:sz w:val="22"/>
              </w:rPr>
            </w:pPr>
            <w:r>
              <w:rPr>
                <w:rFonts w:ascii="Outfit;sans-serif" w:hAnsi="Outfit;sans-serif"/>
                <w:color w:val="000000"/>
                <w:sz w:val="22"/>
              </w:rPr>
              <w:t>all directors are encouraged to attend director education programs</w:t>
            </w:r>
          </w:p>
        </w:tc>
      </w:tr>
      <w:tr>
        <w:trPr/>
        <w:tc>
          <w:tcPr>
            <w:tcW w:w="4364"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directors have full and free access to our management</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335"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at least annually, the Board and its committees conduct anonymous self-evaluations to assess their performance</w:t>
            </w:r>
          </w:p>
        </w:tc>
      </w:tr>
    </w:tbl>
    <w:p>
      <w:pPr>
        <w:pStyle w:val="TextBody"/>
        <w:bidi w:val="0"/>
        <w:spacing w:before="120" w:after="120"/>
        <w:jc w:val="both"/>
        <w:rPr>
          <w:rFonts w:ascii="Outfit;sans-serif" w:hAnsi="Outfit;sans-serif"/>
          <w:color w:val="000000"/>
          <w:sz w:val="22"/>
        </w:rPr>
      </w:pPr>
      <w:r>
        <w:rPr>
          <w:rFonts w:ascii="Outfit;sans-serif" w:hAnsi="Outfit;sans-serif"/>
          <w:color w:val="000000"/>
          <w:sz w:val="22"/>
        </w:rPr>
        <w:t>Amendments to our Corporate Governance Guidelines will be disclosed on our website.</w:t>
      </w:r>
    </w:p>
    <w:p>
      <w:pPr>
        <w:pStyle w:val="TextBody"/>
        <w:bidi w:val="0"/>
        <w:jc w:val="center"/>
        <w:rPr>
          <w:rFonts w:ascii="Outfit;sans-serif" w:hAnsi="Outfit;sans-serif"/>
          <w:color w:val="000000"/>
          <w:sz w:val="22"/>
        </w:rPr>
      </w:pPr>
      <w:r>
        <w:rPr>
          <w:rFonts w:ascii="Outfit;sans-serif" w:hAnsi="Outfit;sans-serif"/>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Corporate Governance</w:t>
            </w:r>
          </w:p>
          <w:p>
            <w:pPr>
              <w:pStyle w:val="Heading1"/>
              <w:bidi w:val="0"/>
              <w:spacing w:before="240" w:after="283"/>
              <w:jc w:val="center"/>
              <w:rPr/>
            </w:pPr>
            <w:r>
              <w:rPr/>
              <w:t> </w:t>
            </w:r>
          </w:p>
        </w:tc>
      </w:tr>
    </w:tbl>
    <w:p>
      <w:pPr>
        <w:pStyle w:val="TextBody"/>
        <w:bidi w:val="0"/>
        <w:jc w:val="left"/>
        <w:rPr/>
      </w:pPr>
      <w:r>
        <w:rPr/>
        <w:t> </w:t>
      </w:r>
    </w:p>
    <w:p>
      <w:pPr>
        <w:pStyle w:val="TextBody"/>
        <w:bidi w:val="0"/>
        <w:spacing w:before="120" w:after="120"/>
        <w:jc w:val="both"/>
        <w:rPr>
          <w:rFonts w:ascii="Outfit;sans-serif" w:hAnsi="Outfit;sans-serif"/>
          <w:b/>
          <w:color w:val="00002D"/>
          <w:sz w:val="32"/>
        </w:rPr>
      </w:pPr>
      <w:bookmarkStart w:id="6" w:name="board_structure_and_selection"/>
      <w:bookmarkEnd w:id="6"/>
      <w:r>
        <w:rPr>
          <w:rFonts w:ascii="Outfit;sans-serif" w:hAnsi="Outfit;sans-serif"/>
          <w:b/>
          <w:color w:val="00002D"/>
          <w:sz w:val="32"/>
        </w:rPr>
        <w:t>Board Structure and Selection</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Leadership Structure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Langley Steinert serves as both our Executive Chair and the Chair of the Board and Jason Trevisan serves as our Chief Executive Officer. Mr. Steinert has authority, among other things, to call and preside over meetings of the Board and set meeting agendas. The Board has not appointed a lead independent director. As a result, if Mr. Steinert is not present at a meeting of the Board, the Board will appoint one independent director to chair such meeting. While we have not established a policy as to whether or not the roles of Chair and Chief Executive Officer should be separate or combined, we believe that the most effective leadership structure at the present time is to have separate Chair of the Board and Chief Executive Officer positions because this allows the Board to benefit from having multiple knowledgeable voices bringing separate views and perspectives to its deliberations.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have a Chair for each committee of the Board. The Board delegates substantial responsibilities to the committees, which regularly report their activities and actions back to the Board. We believe the Board and committee leadership structure provides an appropriate allocation of roles and responsibilities for the Company at this time because it strikes an effective balance of the participation of management and independent leadership in the proceedings of the Board.</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Communications with the Board</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gives appropriate attention to written communications that are submitted by stockholders and other interested parties and will respond if and as appropriate. Our Corporate Secretary is primarily responsible for monitoring communications to the Board, its committees, and individual directors from stockholders and other interested parties and for providing copies or summaries of such communications to members of the Board as they consider appropriate.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Communications are forwarded to all members of the Board if they relate to important substantive matters and include suggestions or comments that our Corporate Secretary considers to be important for the members of the Board to know. In general, communications relating to corporate governance and corporate strategy are more likely to be forwarded than communications relating to ordinary business affairs, personal grievances, and duplicative communications.</w:t>
      </w:r>
    </w:p>
    <w:p>
      <w:pPr>
        <w:pStyle w:val="TextBody"/>
        <w:bidi w:val="0"/>
        <w:spacing w:before="0" w:after="120"/>
        <w:jc w:val="both"/>
        <w:rPr>
          <w:rFonts w:ascii="Times New Roman" w:hAnsi="Times New Roman"/>
          <w:sz w:val="20"/>
        </w:rPr>
      </w:pPr>
      <w:r>
        <w:rPr>
          <w:rFonts w:ascii="Outfit;sans-serif" w:hAnsi="Outfit;sans-serif"/>
          <w:color w:val="000000"/>
          <w:sz w:val="22"/>
        </w:rPr>
        <w:t>Stockholders and other interested parties who wish to send communications on any topic to the Board should address such communications to:</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The Board of Directors</w:t>
      </w:r>
    </w:p>
    <w:p>
      <w:pPr>
        <w:pStyle w:val="TextBody"/>
        <w:bidi w:val="0"/>
        <w:jc w:val="center"/>
        <w:rPr>
          <w:rFonts w:ascii="Outfit;sans-serif" w:hAnsi="Outfit;sans-serif"/>
          <w:color w:val="000000"/>
          <w:sz w:val="22"/>
        </w:rPr>
      </w:pPr>
      <w:r>
        <w:rPr>
          <w:rFonts w:ascii="Outfit;sans-serif" w:hAnsi="Outfit;sans-serif"/>
          <w:color w:val="000000"/>
          <w:sz w:val="22"/>
        </w:rPr>
        <w:t>c/o Corporate Secretary</w:t>
      </w:r>
    </w:p>
    <w:p>
      <w:pPr>
        <w:pStyle w:val="TextBody"/>
        <w:bidi w:val="0"/>
        <w:jc w:val="center"/>
        <w:rPr>
          <w:rFonts w:ascii="Outfit;sans-serif" w:hAnsi="Outfit;sans-serif"/>
          <w:color w:val="000000"/>
          <w:sz w:val="22"/>
        </w:rPr>
      </w:pPr>
      <w:r>
        <w:rPr>
          <w:rFonts w:ascii="Outfit;sans-serif" w:hAnsi="Outfit;sans-serif"/>
          <w:color w:val="000000"/>
          <w:sz w:val="22"/>
        </w:rPr>
        <w:t>CarGurus, Inc.</w:t>
      </w:r>
    </w:p>
    <w:p>
      <w:pPr>
        <w:pStyle w:val="TextBody"/>
        <w:bidi w:val="0"/>
        <w:jc w:val="center"/>
        <w:rPr>
          <w:rFonts w:ascii="Times New Roman" w:hAnsi="Times New Roman"/>
          <w:sz w:val="20"/>
        </w:rPr>
      </w:pPr>
      <w:r>
        <w:rPr>
          <w:rFonts w:ascii="Outfit;sans-serif" w:hAnsi="Outfit;sans-serif"/>
          <w:color w:val="000000"/>
          <w:sz w:val="22"/>
        </w:rPr>
        <w:t>1001 Boylston Street, 16</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Floor</w:t>
      </w:r>
      <w:r>
        <w:rPr>
          <w:rFonts w:ascii="Times New Roman" w:hAnsi="Times New Roman"/>
          <w:color w:val="000000"/>
          <w:sz w:val="20"/>
        </w:rPr>
        <w:t xml:space="preserve"> </w:t>
      </w:r>
    </w:p>
    <w:p>
      <w:pPr>
        <w:pStyle w:val="TextBody"/>
        <w:bidi w:val="0"/>
        <w:spacing w:before="0" w:after="120"/>
        <w:jc w:val="center"/>
        <w:rPr>
          <w:rFonts w:ascii="Outfit;sans-serif" w:hAnsi="Outfit;sans-serif"/>
          <w:color w:val="000000"/>
          <w:sz w:val="22"/>
        </w:rPr>
      </w:pPr>
      <w:r>
        <w:rPr>
          <w:rFonts w:ascii="Outfit;sans-serif" w:hAnsi="Outfit;sans-serif"/>
          <w:color w:val="000000"/>
          <w:sz w:val="22"/>
        </w:rPr>
        <w:t>Boston, Massachusetts 02115</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Additionally, we have established a confidential process for reporting, investigating, and resolving employee and third-party concerns related to accounting, auditing, and similar matters under the Sarbanes-Oxley Act of 2002. Stockholders and other interested parties may confidentially provide information to the Audit Committee or to one or more of our individual directors by using the confidential and anonymous financial concern hotline that is operated by an independent, third-party service. Within the U.S. and Canada, the ethics hotline can be reached by telephone, toll-free, at 1-877-325-9953, or worldwide via the internet at </w:t>
      </w:r>
      <w:r>
        <w:rPr>
          <w:rFonts w:ascii="Outfit;sans-serif" w:hAnsi="Outfit;sans-serif"/>
          <w:i/>
          <w:color w:val="000000"/>
          <w:sz w:val="22"/>
        </w:rPr>
        <w:t>www.whistleblowerservices.com/CARG/</w:t>
      </w:r>
      <w:r>
        <w:rPr>
          <w:rFonts w:ascii="Outfit;sans-serif" w:hAnsi="Outfit;sans-serif"/>
          <w:color w:val="000000"/>
          <w:sz w:val="22"/>
        </w:rPr>
        <w:t>.</w:t>
      </w:r>
    </w:p>
    <w:p>
      <w:pPr>
        <w:pStyle w:val="TextBody"/>
        <w:bidi w:val="0"/>
        <w:jc w:val="center"/>
        <w:rPr>
          <w:rFonts w:ascii="Outfit;sans-serif" w:hAnsi="Outfit;sans-serif"/>
          <w:color w:val="000000"/>
          <w:sz w:val="22"/>
        </w:rPr>
      </w:pPr>
      <w:r>
        <w:rPr>
          <w:rFonts w:ascii="Outfit;sans-serif" w:hAnsi="Outfit;sans-serif"/>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Corporate Governance</w:t>
            </w:r>
          </w:p>
          <w:p>
            <w:pPr>
              <w:pStyle w:val="Heading1"/>
              <w:bidi w:val="0"/>
              <w:spacing w:before="240" w:after="283"/>
              <w:jc w:val="center"/>
              <w:rPr/>
            </w:pPr>
            <w:r>
              <w:rPr/>
              <w:t> </w:t>
            </w:r>
          </w:p>
        </w:tc>
      </w:tr>
    </w:tbl>
    <w:p>
      <w:pPr>
        <w:pStyle w:val="TextBody"/>
        <w:bidi w:val="0"/>
        <w:jc w:val="left"/>
        <w:rPr/>
      </w:pPr>
      <w:r>
        <w:rPr/>
        <w:t> </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Board Composition</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The Board currently consists of seven members, divided into three classes. One director self-identified as female and one director self-identified as racially and ethnically diverse, with one director declining to disclose their gender identity and demographic background.</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Director Independence</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Board of Directors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has determined that all of our directors, other than Mr. Steinert, our Executive Chair, and Mr. Trevisan, our Chief Executive Officer, satisfy the independence requirements of Nasdaq. In making its independence determinations, the Board considered, among other things, whether that person has a relationship that would interfere with the exercise of independent judgment in carrying out a director’s responsibilities.</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Committees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All members of the committees of the Board are independent directors, as defined by Nasdaq rules.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All members of the Audit Committee meet the applicable SEC and Nasdaq independence and financial literacy and expertise requirements applicable to audit committee members. Additionally, the Board has determined that Lori Hickok qualifies as an “audit committee financial expert” within the meaning of SEC regulations.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All members of the Compensation Committee meet the applicable SEC and Nasdaq independence requirements.</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Board and Committee Evaluations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Regular evaluations are an important determinant for continued tenure, and, to that end, the Board and its committees perform a self-evaluation on an annual basis that is intended to determine whether the Board, its committees, and each member of the Board are functioning effectively, and to provide the Board with an opportunity to reflect upon and improve processes and effectiveness. The Board oversees the evaluations and considers the results and ways in which Board processes and effectiveness may be enhanced.</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Status as a “Controlled Company”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Because Mr. Steinert controls a majority of our outstanding combined voting power, we are a “controlled company” under the corporate governance rules for Nasdaq-listed companies. Under these rules, a company is a controlled company if more than 50% of the combined voting power for the election of directors is held by an individual, group, or another company. A controlled company may elect not to comply with certain corporate governance requirements otherwise applicable to Nasdaq-listed companies, including the requirements that:</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 majority of the board of directors consist of independent directors;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be composed entirely of directors meeting Nasdaq independence standards applicable to compensation committee members with a written charter addressing the committee’s purpose and responsibilities;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consider certain independence factors when engaging compensation consultants; and</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director nominees either be selected, or recommended for selection by the board of directors, either by “independent directors,” as defined under Nasdaq rules, constituting a majority of the independent directors of the board of directors in a vote in which only independent directors participate, or by a nominating committee comprised solely of independent directors.</w:t>
      </w:r>
    </w:p>
    <w:p>
      <w:pPr>
        <w:pStyle w:val="TextBody"/>
        <w:bidi w:val="0"/>
        <w:jc w:val="center"/>
        <w:rPr>
          <w:rFonts w:ascii="Outfit;sans-serif" w:hAnsi="Outfit;sans-serif"/>
          <w:color w:val="000000"/>
          <w:sz w:val="22"/>
        </w:rPr>
      </w:pPr>
      <w:r>
        <w:rPr>
          <w:rFonts w:ascii="Outfit;sans-serif" w:hAnsi="Outfit;sans-serif"/>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Corporate Governance</w:t>
            </w:r>
          </w:p>
          <w:p>
            <w:pPr>
              <w:pStyle w:val="Heading1"/>
              <w:bidi w:val="0"/>
              <w:spacing w:before="240" w:after="283"/>
              <w:jc w:val="center"/>
              <w:rPr/>
            </w:pPr>
            <w:r>
              <w:rPr/>
              <w:t> </w:t>
            </w:r>
          </w:p>
        </w:tc>
      </w:tr>
    </w:tbl>
    <w:p>
      <w:pPr>
        <w:pStyle w:val="TextBody"/>
        <w:bidi w:val="0"/>
        <w:jc w:val="left"/>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have availed, and intend to continue to avail, ourselves of certain of these exemptions and, for so long as we qualify as a controlled company, we will maintain the option to utilize from time to time some or all of these exemptions. For example, we do not have a nominating committee and our director nominees are not selected (or recommended for selection by the Board) in a vote in which only independent directors participate.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Class B common stock has ten votes per share and our Class A common stock has one vote per share. Primarily by virtue of his holdings in shares of our Class B common stock, Mr. Steinert is able to exercise voting rights with respect to a majority of the voting power of our outstanding capital stock. 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particular, if Mr. Steinert retains a significant portion of his holdings of Class B common stock for an extended period of time, he could, in the future, continue to control a majority of the combined voting power of our outstanding capital stock.</w:t>
      </w:r>
    </w:p>
    <w:p>
      <w:pPr>
        <w:pStyle w:val="TextBody"/>
        <w:bidi w:val="0"/>
        <w:spacing w:before="0" w:after="120"/>
        <w:jc w:val="both"/>
        <w:rPr>
          <w:rFonts w:ascii="Outfit;sans-serif" w:hAnsi="Outfit;sans-serif"/>
          <w:b/>
          <w:color w:val="00002D"/>
          <w:sz w:val="32"/>
        </w:rPr>
      </w:pPr>
      <w:bookmarkStart w:id="7" w:name="director_nomination_process"/>
      <w:bookmarkEnd w:id="7"/>
      <w:r>
        <w:rPr>
          <w:rFonts w:ascii="Outfit;sans-serif" w:hAnsi="Outfit;sans-serif"/>
          <w:b/>
          <w:color w:val="00002D"/>
          <w:sz w:val="32"/>
        </w:rPr>
        <w:t>Director Nomination Process</w:t>
      </w:r>
    </w:p>
    <w:p>
      <w:pPr>
        <w:pStyle w:val="TextBody"/>
        <w:bidi w:val="0"/>
        <w:spacing w:before="0" w:after="120"/>
        <w:jc w:val="both"/>
        <w:rPr>
          <w:rFonts w:ascii="Times New Roman" w:hAnsi="Times New Roman"/>
          <w:sz w:val="20"/>
        </w:rPr>
      </w:pPr>
      <w:r>
        <w:rPr>
          <w:rFonts w:ascii="Outfit;sans-serif" w:hAnsi="Outfit;sans-serif"/>
          <w:color w:val="000000"/>
          <w:sz w:val="22"/>
        </w:rPr>
        <w:t>As a controlled company, we do not use solely independent directors or a committee comprised solely of independent directors to evaluate director candidates and select or recommend director nominees for selection by the Board. The entire Board is responsible for nominating candidates for election to the Board at the annual meeting of the stockholders. The process followed by the Board to identify and evaluate director candidates may include:</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 xml:space="preserve">requests to members of the Board and others for recommendations; </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 xml:space="preserve">recommendations offered by our Chief Executive Officer, stockholders, or any outside advisors retained by the Board; </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 xml:space="preserve">meetings from time to time to evaluate biographical information and background material relating to potential candidates; and </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 xml:space="preserve">interviews of selected candidates by members of the Board. </w:t>
      </w:r>
    </w:p>
    <w:p>
      <w:pPr>
        <w:pStyle w:val="TextBody"/>
        <w:bidi w:val="0"/>
        <w:spacing w:before="0" w:after="120"/>
        <w:jc w:val="both"/>
        <w:rPr>
          <w:rFonts w:ascii="Times New Roman" w:hAnsi="Times New Roman"/>
          <w:sz w:val="20"/>
        </w:rPr>
      </w:pPr>
      <w:r>
        <w:rPr>
          <w:rFonts w:ascii="Outfit;sans-serif" w:hAnsi="Outfit;sans-serif"/>
          <w:color w:val="000000"/>
          <w:sz w:val="22"/>
        </w:rPr>
        <w:t>Stockholders nominating director candidates must follow the procedures set forth under the section of this proxy statement titled “</w:t>
      </w:r>
      <w:r>
        <w:rPr>
          <w:rFonts w:ascii="Outfit;sans-serif" w:hAnsi="Outfit;sans-serif"/>
          <w:i/>
          <w:color w:val="000000"/>
          <w:sz w:val="22"/>
        </w:rPr>
        <w:t>Additional Information – Miscellaneous – Stockholder Proposals for 2027 Annual Meeting – Requirements for stockholder proposals and nominations to be brought before an annual meeting.</w:t>
      </w:r>
      <w:r>
        <w:rPr>
          <w:rFonts w:ascii="Times New Roman" w:hAnsi="Times New Roman"/>
          <w:color w:val="000000"/>
          <w:sz w:val="20"/>
        </w:rPr>
        <w:t>”</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Criteria</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considering whether to recommend any particular candidate for inclusion in the slate of recommended director nominees for the Board, the Board applies certain criteria as set forth in our Corporate Governance Guidelines. These criteria include the candidate’s:</w:t>
      </w:r>
    </w:p>
    <w:tbl>
      <w:tblPr>
        <w:tblW w:w="10205" w:type="dxa"/>
        <w:jc w:val="left"/>
        <w:tblInd w:w="0" w:type="dxa"/>
        <w:tblLayout w:type="fixed"/>
        <w:tblCellMar>
          <w:top w:w="28" w:type="dxa"/>
          <w:left w:w="28" w:type="dxa"/>
          <w:bottom w:w="28" w:type="dxa"/>
          <w:right w:w="28" w:type="dxa"/>
        </w:tblCellMar>
      </w:tblPr>
      <w:tblGrid>
        <w:gridCol w:w="3950"/>
        <w:gridCol w:w="506"/>
        <w:gridCol w:w="5749"/>
      </w:tblGrid>
      <w:tr>
        <w:trPr/>
        <w:tc>
          <w:tcPr>
            <w:tcW w:w="395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749"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950"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business experience and skills</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749"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ind w:left="0" w:right="0" w:firstLine="360"/>
              <w:jc w:val="left"/>
              <w:rPr>
                <w:rFonts w:ascii="Outfit;sans-serif" w:hAnsi="Outfit;sans-serif"/>
                <w:color w:val="000000"/>
                <w:sz w:val="22"/>
              </w:rPr>
            </w:pPr>
            <w:r>
              <w:rPr>
                <w:rFonts w:ascii="Outfit;sans-serif" w:hAnsi="Outfit;sans-serif"/>
                <w:color w:val="000000"/>
                <w:sz w:val="22"/>
              </w:rPr>
              <w:t>understanding of our business environment</w:t>
            </w:r>
          </w:p>
        </w:tc>
      </w:tr>
      <w:tr>
        <w:trPr/>
        <w:tc>
          <w:tcPr>
            <w:tcW w:w="3950"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independence</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749"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ind w:left="0" w:right="0" w:firstLine="360"/>
              <w:jc w:val="left"/>
              <w:rPr>
                <w:rFonts w:ascii="Outfit;sans-serif" w:hAnsi="Outfit;sans-serif"/>
                <w:color w:val="000000"/>
                <w:sz w:val="22"/>
              </w:rPr>
            </w:pPr>
            <w:r>
              <w:rPr>
                <w:rFonts w:ascii="Outfit;sans-serif" w:hAnsi="Outfit;sans-serif"/>
                <w:color w:val="000000"/>
                <w:sz w:val="22"/>
              </w:rPr>
              <w:t>the absence of potential conflicts with our interests</w:t>
            </w:r>
          </w:p>
        </w:tc>
      </w:tr>
      <w:tr>
        <w:trPr/>
        <w:tc>
          <w:tcPr>
            <w:tcW w:w="3950"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character, wisdom, judgment, and integrity</w:t>
            </w:r>
          </w:p>
        </w:tc>
        <w:tc>
          <w:tcPr>
            <w:tcW w:w="506" w:type="dxa"/>
            <w:tcBorders/>
            <w:tcMar>
              <w:top w:w="0" w:type="dxa"/>
              <w:left w:w="0" w:type="dxa"/>
              <w:bottom w:w="0" w:type="dxa"/>
              <w:right w:w="0" w:type="dxa"/>
            </w:tcMar>
            <w:vAlign w:val="center"/>
          </w:tcPr>
          <w:p>
            <w:pPr>
              <w:pStyle w:val="TableContents"/>
              <w:bidi w:val="0"/>
              <w:spacing w:before="0" w:after="120"/>
              <w:ind w:left="0" w:right="0" w:firstLine="360"/>
              <w:jc w:val="left"/>
              <w:rPr/>
            </w:pPr>
            <w:r>
              <w:rPr/>
              <w:t> </w:t>
            </w:r>
          </w:p>
        </w:tc>
        <w:tc>
          <w:tcPr>
            <w:tcW w:w="5749" w:type="dxa"/>
            <w:vMerge w:val="restart"/>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ind w:left="0" w:right="0" w:firstLine="360"/>
              <w:jc w:val="left"/>
              <w:rPr>
                <w:rFonts w:ascii="Outfit;sans-serif" w:hAnsi="Outfit;sans-serif"/>
                <w:color w:val="000000"/>
                <w:sz w:val="22"/>
              </w:rPr>
            </w:pPr>
            <w:r>
              <w:rPr>
                <w:rFonts w:ascii="Outfit;sans-serif" w:hAnsi="Outfit;sans-serif"/>
                <w:color w:val="000000"/>
                <w:sz w:val="22"/>
              </w:rPr>
              <w:t>the ability to commit sufficient time and attention to Board activities</w:t>
            </w:r>
          </w:p>
        </w:tc>
      </w:tr>
      <w:tr>
        <w:trPr/>
        <w:tc>
          <w:tcPr>
            <w:tcW w:w="3950"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ability to make independent analytical inquiries</w:t>
            </w:r>
          </w:p>
        </w:tc>
        <w:tc>
          <w:tcPr>
            <w:tcW w:w="506" w:type="dxa"/>
            <w:tcBorders/>
            <w:tcMar>
              <w:top w:w="0" w:type="dxa"/>
              <w:left w:w="0" w:type="dxa"/>
              <w:bottom w:w="0" w:type="dxa"/>
              <w:right w:w="0" w:type="dxa"/>
            </w:tcMar>
            <w:vAlign w:val="center"/>
          </w:tcPr>
          <w:p>
            <w:pPr>
              <w:pStyle w:val="TableContents"/>
              <w:bidi w:val="0"/>
              <w:spacing w:before="0" w:after="120"/>
              <w:jc w:val="both"/>
              <w:rPr/>
            </w:pPr>
            <w:r>
              <w:rPr/>
              <w:t> </w:t>
            </w:r>
          </w:p>
        </w:tc>
        <w:tc>
          <w:tcPr>
            <w:tcW w:w="5749"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20" w:after="120"/>
        <w:jc w:val="both"/>
        <w:rPr>
          <w:rFonts w:ascii="Outfit;sans-serif" w:hAnsi="Outfit;sans-serif"/>
          <w:color w:val="000000"/>
          <w:sz w:val="22"/>
        </w:rPr>
      </w:pPr>
      <w:r>
        <w:rPr>
          <w:rFonts w:ascii="Outfit;sans-serif" w:hAnsi="Outfit;sans-serif"/>
          <w:color w:val="000000"/>
          <w:sz w:val="22"/>
        </w:rPr>
        <w:t>The Board does not assign specific weights to particular criteria and no particular criterion is a prerequisite for any prospective nominee. In evaluating any director candidate recommended by stockholders, the Board will apply the same criteria and adhere to the same policies and procedures applicable to the evaluation of candidates proposed by members of the Board or management.</w:t>
      </w:r>
    </w:p>
    <w:p>
      <w:pPr>
        <w:pStyle w:val="TextBody"/>
        <w:bidi w:val="0"/>
        <w:jc w:val="center"/>
        <w:rPr>
          <w:rFonts w:ascii="Outfit;sans-serif" w:hAnsi="Outfit;sans-serif"/>
          <w:color w:val="000000"/>
          <w:sz w:val="22"/>
        </w:rPr>
      </w:pPr>
      <w:r>
        <w:rPr>
          <w:rFonts w:ascii="Outfit;sans-serif" w:hAnsi="Outfit;sans-serif"/>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Corporate Governance</w:t>
            </w:r>
          </w:p>
          <w:p>
            <w:pPr>
              <w:pStyle w:val="Heading1"/>
              <w:bidi w:val="0"/>
              <w:spacing w:before="240" w:after="283"/>
              <w:jc w:val="center"/>
              <w:rPr/>
            </w:pPr>
            <w:r>
              <w:rPr/>
              <w:t> </w:t>
            </w:r>
          </w:p>
        </w:tc>
      </w:tr>
    </w:tbl>
    <w:p>
      <w:pPr>
        <w:pStyle w:val="TextBody"/>
        <w:bidi w:val="0"/>
        <w:jc w:val="left"/>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recognizes its responsibility to ensure that nominees for the Board possess appropriate qualifications and reflect a variety of skills, abilities, industry knowledge, and personal and professional backgrounds and experience. We believe that the backgrounds and qualifications of our directors, considered as a group, should provide a composite mix of experience, knowledge, and abilities that will allow the Board to promote our strategic objectives and to fulfill its responsibilities to our stockholders. The Board also believes that this is important to the effectiveness of the Board’s oversight of the Company.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director skills and qualifications matrix and director biographies on pages 12 – 17 indicate each director’s experience, qualifications, attributes, and skills that led the Board to conclude that each director should continue to serve as a member of the Board. The Board believes that each director has had substantial achievement in such director’s professional and personal pursuits and possesses the background, talents, and experience that the Board desires and that will contribute to the best interests of the Company and to long-term stockholder value.</w:t>
      </w:r>
    </w:p>
    <w:p>
      <w:pPr>
        <w:pStyle w:val="TextBody"/>
        <w:bidi w:val="0"/>
        <w:jc w:val="center"/>
        <w:rPr>
          <w:rFonts w:ascii="Outfit;sans-serif" w:hAnsi="Outfit;sans-serif"/>
          <w:color w:val="000000"/>
          <w:sz w:val="22"/>
        </w:rPr>
      </w:pPr>
      <w:r>
        <w:rPr>
          <w:rFonts w:ascii="Outfit;sans-serif" w:hAnsi="Outfit;sans-serif"/>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120" w:after="120"/>
        <w:jc w:val="both"/>
        <w:rPr>
          <w:rFonts w:ascii="Times New Roman" w:hAnsi="Times New Roman"/>
          <w:sz w:val="20"/>
        </w:rPr>
      </w:pPr>
      <w:bookmarkStart w:id="8" w:name="board_of_directors"/>
      <w:bookmarkEnd w:id="8"/>
      <w:r>
        <w:rPr>
          <w:rFonts w:ascii="Outfit;sans-serif" w:hAnsi="Outfit;sans-serif"/>
          <w:b/>
          <w:color w:val="00002D"/>
          <w:sz w:val="32"/>
        </w:rPr>
        <w:t>P</w:t>
      </w:r>
      <w:bookmarkStart w:id="9" w:name="proposal_1_election_of_directors"/>
      <w:bookmarkEnd w:id="9"/>
      <w:r>
        <w:rPr>
          <w:rFonts w:ascii="Outfit;sans-serif" w:hAnsi="Outfit;sans-serif"/>
          <w:b/>
          <w:color w:val="00002D"/>
          <w:sz w:val="32"/>
        </w:rPr>
        <w:t>roposal 1 – Election of Directors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Fourth Amended and Restated Certificate of Incorporation provides for the classification of the Board into three classes, with the terms of service of the three classes staggered so that the term of one class expires each year. As a result, only one class of our directors is elected at each annual meeting of stockholders, with the other classes continuing for the remainder of their respective three-year terms.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sets forth our current directors along with their respective classes and term expiration:</w:t>
      </w:r>
    </w:p>
    <w:tbl>
      <w:tblPr>
        <w:tblW w:w="8590" w:type="dxa"/>
        <w:jc w:val="left"/>
        <w:tblInd w:w="0" w:type="dxa"/>
        <w:tblLayout w:type="fixed"/>
        <w:tblCellMar>
          <w:top w:w="28" w:type="dxa"/>
          <w:left w:w="28" w:type="dxa"/>
          <w:bottom w:w="28" w:type="dxa"/>
          <w:right w:w="28" w:type="dxa"/>
        </w:tblCellMar>
      </w:tblPr>
      <w:tblGrid>
        <w:gridCol w:w="2761"/>
        <w:gridCol w:w="146"/>
        <w:gridCol w:w="2746"/>
        <w:gridCol w:w="146"/>
        <w:gridCol w:w="27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E4F5FE" w:val="clear"/>
            <w:tcMar>
              <w:top w:w="0" w:type="dxa"/>
              <w:left w:w="0" w:type="dxa"/>
              <w:bottom w:w="0" w:type="dxa"/>
              <w:right w:w="0" w:type="dxa"/>
            </w:tcMar>
            <w:vAlign w:val="center"/>
          </w:tcPr>
          <w:p>
            <w:pPr>
              <w:pStyle w:val="TableContents"/>
              <w:bidi w:val="0"/>
              <w:spacing w:before="60" w:after="283"/>
              <w:jc w:val="center"/>
              <w:rPr>
                <w:rFonts w:ascii="Outfit;sans-serif" w:hAnsi="Outfit;sans-serif"/>
                <w:b/>
                <w:color w:val="3465B0"/>
                <w:sz w:val="22"/>
              </w:rPr>
            </w:pPr>
            <w:r>
              <w:rPr>
                <w:rFonts w:ascii="Outfit;sans-serif" w:hAnsi="Outfit;sans-serif"/>
                <w:b/>
                <w:color w:val="3465B0"/>
                <w:sz w:val="22"/>
              </w:rPr>
              <w:t>Class I</w:t>
            </w:r>
          </w:p>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Term Expires in 2027</w:t>
            </w:r>
          </w:p>
        </w:tc>
        <w:tc>
          <w:tcPr>
            <w:tcW w:w="146" w:type="dxa"/>
            <w:tcBorders/>
            <w:tcMar>
              <w:top w:w="0" w:type="dxa"/>
              <w:left w:w="0" w:type="dxa"/>
              <w:bottom w:w="0" w:type="dxa"/>
              <w:right w:w="0" w:type="dxa"/>
            </w:tcMar>
            <w:vAlign w:val="center"/>
          </w:tcPr>
          <w:p>
            <w:pPr>
              <w:pStyle w:val="TableContents"/>
              <w:bidi w:val="0"/>
              <w:spacing w:before="60" w:after="60"/>
              <w:jc w:val="center"/>
              <w:rPr/>
            </w:pPr>
            <w:r>
              <w:rPr/>
              <w:t> </w:t>
            </w:r>
          </w:p>
        </w:tc>
        <w:tc>
          <w:tcPr>
            <w:tcW w:w="2746" w:type="dxa"/>
            <w:tcBorders/>
            <w:shd w:fill="E4F5FE" w:val="clear"/>
            <w:tcMar>
              <w:top w:w="0" w:type="dxa"/>
              <w:left w:w="0" w:type="dxa"/>
              <w:bottom w:w="0" w:type="dxa"/>
              <w:right w:w="0" w:type="dxa"/>
            </w:tcMar>
            <w:vAlign w:val="center"/>
          </w:tcPr>
          <w:p>
            <w:pPr>
              <w:pStyle w:val="TableContents"/>
              <w:bidi w:val="0"/>
              <w:spacing w:before="60" w:after="283"/>
              <w:jc w:val="center"/>
              <w:rPr>
                <w:rFonts w:ascii="Outfit;sans-serif" w:hAnsi="Outfit;sans-serif"/>
                <w:b/>
                <w:color w:val="3465B0"/>
                <w:sz w:val="22"/>
              </w:rPr>
            </w:pPr>
            <w:r>
              <w:rPr>
                <w:rFonts w:ascii="Outfit;sans-serif" w:hAnsi="Outfit;sans-serif"/>
                <w:b/>
                <w:color w:val="3465B0"/>
                <w:sz w:val="22"/>
              </w:rPr>
              <w:t>Class II</w:t>
            </w:r>
          </w:p>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Term Expires in 2028</w:t>
            </w:r>
          </w:p>
        </w:tc>
        <w:tc>
          <w:tcPr>
            <w:tcW w:w="146" w:type="dxa"/>
            <w:tcBorders/>
            <w:tcMar>
              <w:top w:w="0" w:type="dxa"/>
              <w:left w:w="0" w:type="dxa"/>
              <w:bottom w:w="0" w:type="dxa"/>
              <w:right w:w="0" w:type="dxa"/>
            </w:tcMar>
            <w:vAlign w:val="center"/>
          </w:tcPr>
          <w:p>
            <w:pPr>
              <w:pStyle w:val="TableContents"/>
              <w:bidi w:val="0"/>
              <w:spacing w:before="60" w:after="60"/>
              <w:jc w:val="center"/>
              <w:rPr/>
            </w:pPr>
            <w:r>
              <w:rPr/>
              <w:t> </w:t>
            </w:r>
          </w:p>
        </w:tc>
        <w:tc>
          <w:tcPr>
            <w:tcW w:w="2791" w:type="dxa"/>
            <w:tcBorders/>
            <w:shd w:fill="E4F5FE" w:val="clear"/>
            <w:tcMar>
              <w:top w:w="0" w:type="dxa"/>
              <w:left w:w="0" w:type="dxa"/>
              <w:bottom w:w="0" w:type="dxa"/>
              <w:right w:w="0" w:type="dxa"/>
            </w:tcMar>
            <w:vAlign w:val="center"/>
          </w:tcPr>
          <w:p>
            <w:pPr>
              <w:pStyle w:val="TableContents"/>
              <w:bidi w:val="0"/>
              <w:spacing w:before="60" w:after="283"/>
              <w:jc w:val="center"/>
              <w:rPr>
                <w:rFonts w:ascii="Outfit;sans-serif" w:hAnsi="Outfit;sans-serif"/>
                <w:b/>
                <w:color w:val="3465B0"/>
                <w:sz w:val="22"/>
              </w:rPr>
            </w:pPr>
            <w:r>
              <w:rPr>
                <w:rFonts w:ascii="Outfit;sans-serif" w:hAnsi="Outfit;sans-serif"/>
                <w:b/>
                <w:color w:val="3465B0"/>
                <w:sz w:val="22"/>
              </w:rPr>
              <w:t>Class III</w:t>
            </w:r>
          </w:p>
          <w:p>
            <w:pPr>
              <w:pStyle w:val="TableContents"/>
              <w:bidi w:val="0"/>
              <w:spacing w:before="0" w:after="60"/>
              <w:jc w:val="center"/>
              <w:rPr>
                <w:rFonts w:ascii="Outfit;sans-serif" w:hAnsi="Outfit;sans-serif"/>
                <w:b/>
                <w:color w:val="3465B0"/>
                <w:sz w:val="22"/>
              </w:rPr>
            </w:pPr>
            <w:r>
              <w:rPr>
                <w:rFonts w:ascii="Outfit;sans-serif" w:hAnsi="Outfit;sans-serif"/>
                <w:b/>
                <w:color w:val="3465B0"/>
                <w:sz w:val="22"/>
              </w:rPr>
              <w:t>Term Expires in 2026</w:t>
            </w:r>
          </w:p>
        </w:tc>
      </w:tr>
      <w:tr>
        <w:trPr/>
        <w:tc>
          <w:tcPr>
            <w:tcW w:w="2761" w:type="dxa"/>
            <w:tcBorders/>
            <w:tcMar>
              <w:top w:w="0" w:type="dxa"/>
              <w:left w:w="0" w:type="dxa"/>
              <w:bottom w:w="0" w:type="dxa"/>
              <w:right w:w="0" w:type="dxa"/>
            </w:tcMar>
            <w:vAlign w:val="center"/>
          </w:tcPr>
          <w:p>
            <w:pPr>
              <w:pStyle w:val="TableContents"/>
              <w:bidi w:val="0"/>
              <w:jc w:val="center"/>
              <w:rPr>
                <w:rFonts w:ascii="Outfit;sans-serif" w:hAnsi="Outfit;sans-serif"/>
                <w:color w:val="000000"/>
                <w:sz w:val="22"/>
              </w:rPr>
            </w:pPr>
            <w:r>
              <w:rPr>
                <w:rFonts w:ascii="Outfit;sans-serif" w:hAnsi="Outfit;sans-serif"/>
                <w:color w:val="000000"/>
                <w:sz w:val="22"/>
              </w:rPr>
              <w:t>Lori Hickok</w:t>
            </w:r>
          </w:p>
          <w:p>
            <w:pPr>
              <w:pStyle w:val="TableContents"/>
              <w:bidi w:val="0"/>
              <w:jc w:val="center"/>
              <w:rPr>
                <w:rFonts w:ascii="Outfit;sans-serif" w:hAnsi="Outfit;sans-serif"/>
                <w:color w:val="000000"/>
                <w:sz w:val="22"/>
              </w:rPr>
            </w:pPr>
            <w:r>
              <w:rPr>
                <w:rFonts w:ascii="Outfit;sans-serif" w:hAnsi="Outfit;sans-serif"/>
                <w:color w:val="000000"/>
                <w:sz w:val="22"/>
              </w:rPr>
              <w:t>Greg Schwartz</w:t>
            </w:r>
          </w:p>
          <w:p>
            <w:pPr>
              <w:pStyle w:val="TableContents"/>
              <w:bidi w:val="0"/>
              <w:spacing w:before="0" w:after="120"/>
              <w:jc w:val="center"/>
              <w:rPr>
                <w:rFonts w:ascii="Outfit;sans-serif" w:hAnsi="Outfit;sans-serif"/>
                <w:color w:val="000000"/>
                <w:sz w:val="22"/>
              </w:rPr>
            </w:pPr>
            <w:r>
              <w:rPr>
                <w:rFonts w:ascii="Outfit;sans-serif" w:hAnsi="Outfit;sans-serif"/>
                <w:color w:val="000000"/>
                <w:sz w:val="22"/>
              </w:rPr>
              <w:t>Jason Trevisan</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2746" w:type="dxa"/>
            <w:tcBorders/>
            <w:tcMar>
              <w:top w:w="0" w:type="dxa"/>
              <w:left w:w="0" w:type="dxa"/>
              <w:bottom w:w="0" w:type="dxa"/>
              <w:right w:w="0" w:type="dxa"/>
            </w:tcMar>
            <w:vAlign w:val="center"/>
          </w:tcPr>
          <w:p>
            <w:pPr>
              <w:pStyle w:val="TableContents"/>
              <w:bidi w:val="0"/>
              <w:jc w:val="center"/>
              <w:rPr>
                <w:rFonts w:ascii="Outfit;sans-serif" w:hAnsi="Outfit;sans-serif"/>
                <w:color w:val="000000"/>
                <w:sz w:val="22"/>
              </w:rPr>
            </w:pPr>
            <w:r>
              <w:rPr>
                <w:rFonts w:ascii="Outfit;sans-serif" w:hAnsi="Outfit;sans-serif"/>
                <w:color w:val="000000"/>
                <w:sz w:val="22"/>
              </w:rPr>
              <w:t>Steven Conine</w:t>
            </w:r>
          </w:p>
          <w:p>
            <w:pPr>
              <w:pStyle w:val="TableContents"/>
              <w:bidi w:val="0"/>
              <w:spacing w:before="0" w:after="120"/>
              <w:jc w:val="center"/>
              <w:rPr>
                <w:rFonts w:ascii="Outfit;sans-serif" w:hAnsi="Outfit;sans-serif"/>
                <w:color w:val="000000"/>
                <w:sz w:val="22"/>
              </w:rPr>
            </w:pPr>
            <w:r>
              <w:rPr>
                <w:rFonts w:ascii="Outfit;sans-serif" w:hAnsi="Outfit;sans-serif"/>
                <w:color w:val="000000"/>
                <w:sz w:val="22"/>
              </w:rPr>
              <w:t>Stephen Kaufer</w:t>
            </w:r>
          </w:p>
        </w:tc>
        <w:tc>
          <w:tcPr>
            <w:tcW w:w="146" w:type="dxa"/>
            <w:tcBorders/>
            <w:tcMar>
              <w:top w:w="0" w:type="dxa"/>
              <w:left w:w="0" w:type="dxa"/>
              <w:bottom w:w="0" w:type="dxa"/>
              <w:right w:w="0" w:type="dxa"/>
            </w:tcMar>
            <w:vAlign w:val="center"/>
          </w:tcPr>
          <w:p>
            <w:pPr>
              <w:pStyle w:val="TableContents"/>
              <w:bidi w:val="0"/>
              <w:spacing w:before="0" w:after="120"/>
              <w:jc w:val="both"/>
              <w:rPr/>
            </w:pPr>
            <w:r>
              <w:rPr/>
              <w:t> </w:t>
            </w:r>
          </w:p>
        </w:tc>
        <w:tc>
          <w:tcPr>
            <w:tcW w:w="2791" w:type="dxa"/>
            <w:tcBorders/>
            <w:tcMar>
              <w:top w:w="0" w:type="dxa"/>
              <w:left w:w="0" w:type="dxa"/>
              <w:bottom w:w="0" w:type="dxa"/>
              <w:right w:w="0" w:type="dxa"/>
            </w:tcMar>
            <w:vAlign w:val="center"/>
          </w:tcPr>
          <w:p>
            <w:pPr>
              <w:pStyle w:val="TableContents"/>
              <w:bidi w:val="0"/>
              <w:jc w:val="center"/>
              <w:rPr>
                <w:rFonts w:ascii="Outfit;sans-serif" w:hAnsi="Outfit;sans-serif"/>
                <w:color w:val="000000"/>
                <w:sz w:val="22"/>
              </w:rPr>
            </w:pPr>
            <w:r>
              <w:rPr>
                <w:rFonts w:ascii="Outfit;sans-serif" w:hAnsi="Outfit;sans-serif"/>
                <w:color w:val="000000"/>
                <w:sz w:val="22"/>
              </w:rPr>
              <w:t>Manik Gupta</w:t>
            </w:r>
          </w:p>
          <w:p>
            <w:pPr>
              <w:pStyle w:val="TableContents"/>
              <w:bidi w:val="0"/>
              <w:spacing w:before="0" w:after="120"/>
              <w:jc w:val="center"/>
              <w:rPr>
                <w:rFonts w:ascii="Outfit;sans-serif" w:hAnsi="Outfit;sans-serif"/>
                <w:color w:val="000000"/>
                <w:sz w:val="22"/>
              </w:rPr>
            </w:pPr>
            <w:r>
              <w:rPr>
                <w:rFonts w:ascii="Outfit;sans-serif" w:hAnsi="Outfit;sans-serif"/>
                <w:color w:val="000000"/>
                <w:sz w:val="22"/>
              </w:rPr>
              <w:t>Langley Steinert</w:t>
            </w:r>
          </w:p>
        </w:tc>
      </w:tr>
    </w:tbl>
    <w:p>
      <w:pPr>
        <w:pStyle w:val="TextBody"/>
        <w:bidi w:val="0"/>
        <w:spacing w:before="120" w:after="120"/>
        <w:jc w:val="both"/>
        <w:rPr>
          <w:rFonts w:ascii="Outfit;sans-serif" w:hAnsi="Outfit;sans-serif"/>
          <w:color w:val="000000"/>
          <w:sz w:val="22"/>
        </w:rPr>
      </w:pPr>
      <w:r>
        <w:rPr>
          <w:rFonts w:ascii="Outfit;sans-serif" w:hAnsi="Outfit;sans-serif"/>
          <w:color w:val="000000"/>
          <w:sz w:val="22"/>
        </w:rPr>
        <w:t>The Board has nominated Messrs. Gupta and Steinert for election at the Annual Meeting as Class III directors, to serve for a term expiring at the annual meeting of stockholders to be held in 2029, or until their respective successors have been duly elected and qualified.</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Each of Messrs. Gupta and Steinert is presently a director and has indicated a willingness to continue to serve as a director, if elected. Unless otherwise instructed, proxies will be voted for Messrs. Gupta and Steinert. In the event that either of Messrs. Gupta and Steinert is not a candidate or is unable to serve as a director at the time of the election (which is not currently expected), your proxy will be voted for any nominee who is designated by the Board to fill the vacancy.</w:t>
      </w:r>
    </w:p>
    <w:p>
      <w:pPr>
        <w:pStyle w:val="TextBody"/>
        <w:bidi w:val="0"/>
        <w:spacing w:before="0" w:after="240"/>
        <w:jc w:val="both"/>
        <w:rPr/>
      </w:pPr>
      <w:r>
        <w:rPr/>
        <w:t> </w:t>
      </w:r>
    </w:p>
    <w:tbl>
      <w:tblPr>
        <w:tblW w:w="9046" w:type="dxa"/>
        <w:jc w:val="left"/>
        <w:tblInd w:w="0" w:type="dxa"/>
        <w:tblLayout w:type="fixed"/>
        <w:tblCellMar>
          <w:top w:w="28" w:type="dxa"/>
          <w:left w:w="28" w:type="dxa"/>
          <w:bottom w:w="28" w:type="dxa"/>
          <w:right w:w="28" w:type="dxa"/>
        </w:tblCellMar>
      </w:tblPr>
      <w:tblGrid>
        <w:gridCol w:w="9046"/>
      </w:tblGrid>
      <w:tr>
        <w:trPr/>
        <w:tc>
          <w:tcPr>
            <w:tcW w:w="9046" w:type="dxa"/>
            <w:tcBorders/>
            <w:vAlign w:val="center"/>
          </w:tcPr>
          <w:p>
            <w:pPr>
              <w:pStyle w:val="TableContents"/>
              <w:bidi w:val="0"/>
              <w:spacing w:before="0" w:after="283"/>
              <w:jc w:val="left"/>
              <w:rPr>
                <w:sz w:val="4"/>
                <w:szCs w:val="4"/>
              </w:rPr>
            </w:pPr>
            <w:r>
              <w:rPr>
                <w:sz w:val="4"/>
                <w:szCs w:val="4"/>
              </w:rPr>
            </w:r>
          </w:p>
        </w:tc>
      </w:tr>
      <w:tr>
        <w:trPr/>
        <w:tc>
          <w:tcPr>
            <w:tcW w:w="9046" w:type="dxa"/>
            <w:tcBorders/>
            <w:shd w:fill="003A70" w:val="clear"/>
            <w:tcMar>
              <w:top w:w="0" w:type="dxa"/>
              <w:left w:w="0" w:type="dxa"/>
              <w:bottom w:w="0" w:type="dxa"/>
              <w:right w:w="0" w:type="dxa"/>
            </w:tcMar>
            <w:vAlign w:val="center"/>
          </w:tcPr>
          <w:p>
            <w:pPr>
              <w:pStyle w:val="TableContents"/>
              <w:bidi w:val="0"/>
              <w:spacing w:before="120" w:after="120"/>
              <w:jc w:val="center"/>
              <w:rPr>
                <w:rFonts w:ascii="Outfit;sans-serif" w:hAnsi="Outfit;sans-serif"/>
                <w:b/>
                <w:color w:val="FFFFFF"/>
                <w:sz w:val="24"/>
              </w:rPr>
            </w:pPr>
            <w:r>
              <w:rPr>
                <w:rFonts w:ascii="Outfit;sans-serif" w:hAnsi="Outfit;sans-serif"/>
                <w:b/>
                <w:color w:val="FFFFFF"/>
                <w:sz w:val="24"/>
              </w:rPr>
              <w:t>THE BOARD OF DIRECTORS UNANIMOUSLY RECOMMENDS A VOTE</w:t>
              <w:br/>
              <w:t>“FOR” THE CLASS III NOMINEES NAMED ABOVE</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Director Skills and Qualifications</w:t>
      </w:r>
    </w:p>
    <w:p>
      <w:pPr>
        <w:pStyle w:val="TextBody"/>
        <w:bidi w:val="0"/>
        <w:spacing w:before="0" w:after="240"/>
        <w:jc w:val="both"/>
        <w:rPr>
          <w:rFonts w:ascii="Times New Roman" w:hAnsi="Times New Roman"/>
          <w:sz w:val="20"/>
        </w:rPr>
      </w:pPr>
      <w:r>
        <w:rPr>
          <w:rFonts w:ascii="Outfit;sans-serif" w:hAnsi="Outfit;sans-serif"/>
          <w:color w:val="000000"/>
          <w:sz w:val="22"/>
        </w:rPr>
        <w:t xml:space="preserve">The matrix below represents some of the key experiences, attributes, and skills that the Board has identified as particularly valuable to the oversight of the Company. The </w:t>
      </w:r>
      <w:r>
        <w:rPr>
          <w:rFonts w:ascii="Times New Roman" w:hAnsi="Times New Roman"/>
          <w:color w:val="003A6F"/>
          <w:sz w:val="20"/>
        </w:rPr>
        <w:t>✓</w:t>
      </w:r>
      <w:r>
        <w:rPr>
          <w:rFonts w:ascii="Times New Roman" w:hAnsi="Times New Roman"/>
          <w:color w:val="000000"/>
          <w:sz w:val="20"/>
        </w:rPr>
        <w:t xml:space="preserve"> </w:t>
      </w:r>
      <w:r>
        <w:rPr>
          <w:rFonts w:ascii="Outfit;sans-serif" w:hAnsi="Outfit;sans-serif"/>
          <w:color w:val="000000"/>
          <w:sz w:val="22"/>
        </w:rPr>
        <w:t xml:space="preserve">indicates that the item is a specific experience, qualification, attribute, or skill that the director or director nominee brings to the Board. The lack of </w:t>
      </w:r>
      <w:r>
        <w:rPr>
          <w:rFonts w:ascii="Times New Roman" w:hAnsi="Times New Roman"/>
          <w:color w:val="003A6F"/>
          <w:sz w:val="20"/>
        </w:rPr>
        <w:t>✓</w:t>
      </w:r>
      <w:r>
        <w:rPr>
          <w:rFonts w:ascii="Times New Roman" w:hAnsi="Times New Roman"/>
          <w:color w:val="000000"/>
          <w:sz w:val="20"/>
        </w:rPr>
        <w:t xml:space="preserve"> </w:t>
      </w:r>
      <w:r>
        <w:rPr>
          <w:rFonts w:ascii="Outfit;sans-serif" w:hAnsi="Outfit;sans-serif"/>
          <w:color w:val="000000"/>
          <w:sz w:val="22"/>
        </w:rPr>
        <w:t>for a particular item does not mean that the director or director nominee does not possess that experience, qualification, attribute, or skill. We expect each director to be knowledgeable in several of these areas.</w:t>
      </w:r>
    </w:p>
    <w:tbl>
      <w:tblPr>
        <w:tblW w:w="10205" w:type="dxa"/>
        <w:jc w:val="left"/>
        <w:tblInd w:w="0" w:type="dxa"/>
        <w:tblLayout w:type="fixed"/>
        <w:tblCellMar>
          <w:top w:w="28" w:type="dxa"/>
          <w:left w:w="28" w:type="dxa"/>
          <w:bottom w:w="28" w:type="dxa"/>
          <w:right w:w="28" w:type="dxa"/>
        </w:tblCellMar>
      </w:tblPr>
      <w:tblGrid>
        <w:gridCol w:w="3553"/>
        <w:gridCol w:w="856"/>
        <w:gridCol w:w="766"/>
        <w:gridCol w:w="856"/>
        <w:gridCol w:w="1006"/>
        <w:gridCol w:w="1111"/>
        <w:gridCol w:w="976"/>
        <w:gridCol w:w="1081"/>
      </w:tblGrid>
      <w:tr>
        <w:trPr/>
        <w:tc>
          <w:tcPr>
            <w:tcW w:w="35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553" w:type="dxa"/>
            <w:tcBorders>
              <w:bottom w:val="single" w:sz="12"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D9E1EB"/>
            </w:tcBorders>
            <w:shd w:fill="D9E1EB"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Steven</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Conine</w:t>
            </w:r>
          </w:p>
        </w:tc>
        <w:tc>
          <w:tcPr>
            <w:tcW w:w="766" w:type="dxa"/>
            <w:tcBorders>
              <w:bottom w:val="single" w:sz="12" w:space="0" w:color="D9E1EB"/>
            </w:tcBorders>
            <w:shd w:fill="E4F5FE"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Manik</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Gupta</w:t>
            </w:r>
          </w:p>
        </w:tc>
        <w:tc>
          <w:tcPr>
            <w:tcW w:w="856" w:type="dxa"/>
            <w:tcBorders>
              <w:bottom w:val="single" w:sz="12" w:space="0" w:color="D9E1EB"/>
            </w:tcBorders>
            <w:shd w:fill="D9E1EB"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Lori</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Hickok</w:t>
            </w:r>
          </w:p>
        </w:tc>
        <w:tc>
          <w:tcPr>
            <w:tcW w:w="1006" w:type="dxa"/>
            <w:tcBorders>
              <w:bottom w:val="single" w:sz="12" w:space="0" w:color="D9E1EB"/>
            </w:tcBorders>
            <w:shd w:fill="D9E1EB"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Stephen</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Kaufer</w:t>
            </w:r>
          </w:p>
        </w:tc>
        <w:tc>
          <w:tcPr>
            <w:tcW w:w="1111" w:type="dxa"/>
            <w:tcBorders>
              <w:bottom w:val="single" w:sz="12" w:space="0" w:color="D9E1EB"/>
            </w:tcBorders>
            <w:shd w:fill="D9E1EB"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Greg</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Schwartz</w:t>
            </w:r>
          </w:p>
        </w:tc>
        <w:tc>
          <w:tcPr>
            <w:tcW w:w="976" w:type="dxa"/>
            <w:tcBorders>
              <w:bottom w:val="single" w:sz="12" w:space="0" w:color="D9E1EB"/>
            </w:tcBorders>
            <w:shd w:fill="E4F5FE"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Langley</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Steinert</w:t>
            </w:r>
          </w:p>
        </w:tc>
        <w:tc>
          <w:tcPr>
            <w:tcW w:w="1081" w:type="dxa"/>
            <w:tcBorders>
              <w:bottom w:val="single" w:sz="12" w:space="0" w:color="D9E1EB"/>
            </w:tcBorders>
            <w:shd w:fill="D9E1EB" w:val="clear"/>
            <w:tcMar>
              <w:top w:w="0" w:type="dxa"/>
              <w:left w:w="0" w:type="dxa"/>
              <w:right w:w="0" w:type="dxa"/>
            </w:tcMar>
            <w:vAlign w:val="center"/>
          </w:tcPr>
          <w:p>
            <w:pPr>
              <w:pStyle w:val="TableContents"/>
              <w:bidi w:val="0"/>
              <w:jc w:val="center"/>
              <w:rPr>
                <w:rFonts w:ascii="Outfit;sans-serif" w:hAnsi="Outfit;sans-serif"/>
                <w:b/>
                <w:color w:val="3465B0"/>
                <w:sz w:val="20"/>
              </w:rPr>
            </w:pPr>
            <w:r>
              <w:rPr>
                <w:rFonts w:ascii="Outfit;sans-serif" w:hAnsi="Outfit;sans-serif"/>
                <w:b/>
                <w:color w:val="3465B0"/>
                <w:sz w:val="20"/>
              </w:rPr>
              <w:t>Jason</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Trevisan</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Independent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Additional Board of Directors Experience</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Executive Leadership</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Online Marketplace Industry</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 xml:space="preserve">✓ </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Innovation &amp; Technology</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Strategic Planning</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Corporate Governance</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Financial Reporting; Accounting; Taxation</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Internet &amp; Media</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Finance &amp; Investment Management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Oversight of Data Privacy &amp; Cybersecurity</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4"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Human Capital Management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76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85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0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11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976"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c>
          <w:tcPr>
            <w:tcW w:w="1081" w:type="dxa"/>
            <w:tcBorders>
              <w:bottom w:val="single" w:sz="4"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w:t>
            </w:r>
          </w:p>
        </w:tc>
      </w:tr>
      <w:tr>
        <w:trPr/>
        <w:tc>
          <w:tcPr>
            <w:tcW w:w="3553" w:type="dxa"/>
            <w:tcBorders>
              <w:bottom w:val="single" w:sz="12" w:space="0" w:color="D9E1EB"/>
            </w:tcBorders>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Audit Committee Financial Expert</w:t>
            </w:r>
          </w:p>
        </w:tc>
        <w:tc>
          <w:tcPr>
            <w:tcW w:w="856" w:type="dxa"/>
            <w:tcBorders>
              <w:bottom w:val="single" w:sz="12"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12" w:space="0" w:color="D9E1EB"/>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12" w:space="0" w:color="D9E1EB"/>
            </w:tcBorders>
            <w:tcMar>
              <w:top w:w="0" w:type="dxa"/>
              <w:left w:w="0" w:type="dxa"/>
              <w:right w:w="0" w:type="dxa"/>
            </w:tcMar>
            <w:vAlign w:val="center"/>
          </w:tcPr>
          <w:p>
            <w:pPr>
              <w:pStyle w:val="TableContents"/>
              <w:bidi w:val="0"/>
              <w:spacing w:before="0" w:after="283"/>
              <w:jc w:val="center"/>
              <w:rPr>
                <w:color w:val="003A6F"/>
              </w:rPr>
            </w:pPr>
            <w:r>
              <w:rPr>
                <w:color w:val="003A6F"/>
              </w:rPr>
              <w:t> ✓</w:t>
            </w:r>
          </w:p>
        </w:tc>
        <w:tc>
          <w:tcPr>
            <w:tcW w:w="1006" w:type="dxa"/>
            <w:tcBorders>
              <w:bottom w:val="single" w:sz="12"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12"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12"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tcBorders>
              <w:bottom w:val="single" w:sz="12" w:space="0" w:color="D9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53" w:type="dxa"/>
            <w:tcBorders/>
            <w:shd w:fill="E4F5FE"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gridSpan w:val="7"/>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Director Nominee</w:t>
            </w:r>
          </w:p>
        </w:tc>
      </w:tr>
      <w:tr>
        <w:trPr/>
        <w:tc>
          <w:tcPr>
            <w:tcW w:w="3553" w:type="dxa"/>
            <w:tcBorders/>
            <w:shd w:fill="D9E1EB" w:val="clear"/>
            <w:tcMar>
              <w:top w:w="0" w:type="dxa"/>
              <w:left w:w="0" w:type="dxa"/>
              <w:bottom w:w="0" w:type="dxa"/>
              <w:right w:w="0" w:type="dxa"/>
            </w:tcMar>
            <w:vAlign w:val="center"/>
          </w:tcPr>
          <w:p>
            <w:pPr>
              <w:pStyle w:val="TableContents"/>
              <w:bidi w:val="0"/>
              <w:spacing w:before="0" w:after="283"/>
              <w:jc w:val="left"/>
              <w:rPr/>
            </w:pPr>
            <w:r>
              <w:rPr/>
              <w:t> </w:t>
            </w:r>
          </w:p>
        </w:tc>
        <w:tc>
          <w:tcPr>
            <w:tcW w:w="6652" w:type="dxa"/>
            <w:gridSpan w:val="7"/>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Continuing Director</w:t>
            </w:r>
          </w:p>
        </w:tc>
      </w:tr>
    </w:tbl>
    <w:p>
      <w:pPr>
        <w:pStyle w:val="TextBody"/>
        <w:bidi w:val="0"/>
        <w:jc w:val="center"/>
        <w:rPr>
          <w:rFonts w:ascii="Outfit;sans-serif" w:hAnsi="Outfit;sans-serif"/>
          <w:color w:val="000000"/>
          <w:sz w:val="22"/>
        </w:rPr>
      </w:pPr>
      <w:r>
        <w:rPr>
          <w:rFonts w:ascii="Outfit;sans-serif" w:hAnsi="Outfit;sans-serif"/>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120" w:after="120"/>
        <w:jc w:val="left"/>
        <w:rPr>
          <w:rFonts w:ascii="Outfit;sans-serif" w:hAnsi="Outfit;sans-serif"/>
          <w:b/>
          <w:color w:val="3465B0"/>
          <w:sz w:val="24"/>
        </w:rPr>
      </w:pPr>
      <w:r>
        <w:rPr>
          <w:rFonts w:ascii="Outfit;sans-serif" w:hAnsi="Outfit;sans-serif"/>
          <w:b/>
          <w:color w:val="3465B0"/>
          <w:sz w:val="24"/>
        </w:rPr>
        <w:t>Director Nominees for Election at the Annual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 biography of each director nominee, current as of April 1, 2026, setting forth their age and describing their business experience during the past five years, including other prior relevant business experience, is presented below.</w:t>
      </w:r>
    </w:p>
    <w:tbl>
      <w:tblPr>
        <w:tblW w:w="10205" w:type="dxa"/>
        <w:jc w:val="left"/>
        <w:tblInd w:w="0" w:type="dxa"/>
        <w:tblLayout w:type="fixed"/>
        <w:tblCellMar>
          <w:top w:w="28" w:type="dxa"/>
          <w:left w:w="28" w:type="dxa"/>
          <w:bottom w:w="28" w:type="dxa"/>
          <w:right w:w="28" w:type="dxa"/>
        </w:tblCellMar>
      </w:tblPr>
      <w:tblGrid>
        <w:gridCol w:w="2040"/>
        <w:gridCol w:w="1995"/>
        <w:gridCol w:w="146"/>
        <w:gridCol w:w="6024"/>
      </w:tblGrid>
      <w:tr>
        <w:trPr/>
        <w:tc>
          <w:tcPr>
            <w:tcW w:w="204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4"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Manik Gupta</w:t>
            </w:r>
          </w:p>
        </w:tc>
      </w:tr>
      <w:tr>
        <w:trPr/>
        <w:tc>
          <w:tcPr>
            <w:tcW w:w="2040" w:type="dxa"/>
            <w:vMerge w:val="restart"/>
            <w:tcBorders>
              <w:bottom w:val="single" w:sz="4" w:space="0" w:color="FFFFFF"/>
            </w:tcBorders>
            <w:tcMar>
              <w:top w:w="0" w:type="dxa"/>
              <w:left w:w="0" w:type="dxa"/>
              <w:right w:w="0" w:type="dxa"/>
            </w:tcMar>
            <w:vAlign w:val="center"/>
          </w:tcPr>
          <w:p>
            <w:pPr>
              <w:pStyle w:val="TableContents"/>
              <w:bidi w:val="0"/>
              <w:spacing w:before="120" w:after="120"/>
              <w:jc w:val="center"/>
              <w:rPr/>
            </w:pPr>
            <w:r>
              <w:rPr/>
              <w:drawing>
                <wp:inline distT="0" distB="0" distL="0" distR="0">
                  <wp:extent cx="923925" cy="11525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23925" cy="1152525"/>
                          </a:xfrm>
                          <a:prstGeom prst="rect">
                            <a:avLst/>
                          </a:prstGeom>
                        </pic:spPr>
                      </pic:pic>
                    </a:graphicData>
                  </a:graphic>
                </wp:inline>
              </w:drawing>
            </w:r>
          </w:p>
        </w:tc>
        <w:tc>
          <w:tcPr>
            <w:tcW w:w="1995" w:type="dxa"/>
            <w:vMerge w:val="restart"/>
            <w:tcBorders>
              <w:bottom w:val="single" w:sz="4" w:space="0" w:color="FFFFFF"/>
            </w:tcBorders>
            <w:tcMar>
              <w:top w:w="0" w:type="dxa"/>
              <w:left w:w="0" w:type="dxa"/>
              <w:right w:w="0" w:type="dxa"/>
            </w:tcMar>
            <w:vAlign w:val="center"/>
          </w:tcPr>
          <w:p>
            <w:pPr>
              <w:pStyle w:val="TableContents"/>
              <w:bidi w:val="0"/>
              <w:spacing w:before="120" w:after="60"/>
              <w:jc w:val="both"/>
              <w:rPr>
                <w:rFonts w:ascii="Outfit;sans-serif" w:hAnsi="Outfit;sans-serif"/>
                <w:b/>
                <w:color w:val="3465B0"/>
                <w:sz w:val="20"/>
              </w:rPr>
            </w:pPr>
            <w:r>
              <w:rPr>
                <w:rFonts w:ascii="Outfit;sans-serif" w:hAnsi="Outfit;sans-serif"/>
                <w:b/>
                <w:color w:val="3465B0"/>
                <w:sz w:val="20"/>
              </w:rPr>
              <w:t>Class III Director</w:t>
            </w:r>
          </w:p>
          <w:p>
            <w:pPr>
              <w:pStyle w:val="TableContents"/>
              <w:bidi w:val="0"/>
              <w:jc w:val="both"/>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July 2023</w:t>
            </w:r>
          </w:p>
          <w:p>
            <w:pPr>
              <w:pStyle w:val="TableContents"/>
              <w:bidi w:val="0"/>
              <w:jc w:val="both"/>
              <w:rPr>
                <w:rFonts w:ascii="Outfit;sans-serif" w:hAnsi="Outfit;sans-serif"/>
                <w:b/>
                <w:color w:val="3465B0"/>
                <w:sz w:val="20"/>
              </w:rPr>
            </w:pPr>
            <w:r>
              <w:rPr>
                <w:rFonts w:ascii="Outfit;sans-serif" w:hAnsi="Outfit;sans-serif"/>
                <w:b/>
                <w:color w:val="3465B0"/>
                <w:sz w:val="20"/>
              </w:rPr>
              <w:t>Committee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Audit</w:t>
            </w:r>
          </w:p>
          <w:p>
            <w:pPr>
              <w:pStyle w:val="TableContents"/>
              <w:bidi w:val="0"/>
              <w:spacing w:before="0" w:after="60"/>
              <w:jc w:val="both"/>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49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24"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Advisor and investor to startups based in the U.S. and India (since January 2020)</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Corporate Vice President, Microsoft Teams, Microsoft Corporation, a technology corporation (November 2022 to January 2026); Corporate Vice President, Microsoft Teams, Consumer Communications and Communities, Microsoft (August 2021 to November 2022)</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Chief Product Officer, Uber Technologies, Inc., a transportation marketplace technology company (November 2018 to December 2019); Vice President, Product Management, Maps and Marketplace, Uber (March 2018 to November 2018); Senior Director, Product, Maps and Marketplace, Uber (September 2017 to March 2018); Director, Product Management, Maps, Uber (November 2015 to August 2017)</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Director, Product Management, Google Maps, Google Inc., a technology company (December 2014 to November 2015); Variety of product leadership roles within Google Maps across Asia and the U.S. (June 2008 to December 2014)</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Project Manager and Solutions Architect, Hewlett Packard, a multinational enterprise information technology company (June 2003 to April 2007)</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of BuyItTogether.com, an e-commerce startup, where he served as the founding head of engineering and product and held various technical leadership roles (June 1999 to April 2003)</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We believe Mr. Gupta is qualified to serve as a member of the Board because of his significant public company experience and his deep knowledge of the technology industry.</w:t>
            </w:r>
          </w:p>
        </w:tc>
      </w:tr>
      <w:tr>
        <w:trPr/>
        <w:tc>
          <w:tcPr>
            <w:tcW w:w="2040" w:type="dxa"/>
            <w:vMerge w:val="continue"/>
            <w:tcBorders>
              <w:bottom w:val="single" w:sz="4" w:space="0" w:color="FFFFFF"/>
            </w:tcBorders>
            <w:tcMar>
              <w:top w:w="0" w:type="dxa"/>
              <w:left w:w="0" w:type="dxa"/>
              <w:right w:w="0" w:type="dxa"/>
            </w:tcMar>
            <w:vAlign w:val="center"/>
          </w:tcPr>
          <w:p>
            <w:pPr>
              <w:pStyle w:val="Normal"/>
              <w:bidi w:val="0"/>
              <w:jc w:val="left"/>
              <w:rPr/>
            </w:pPr>
            <w:r>
              <w:rPr/>
            </w:r>
          </w:p>
        </w:tc>
        <w:tc>
          <w:tcPr>
            <w:tcW w:w="1995" w:type="dxa"/>
            <w:vMerge w:val="continue"/>
            <w:tcBorders>
              <w:bottom w:val="single" w:sz="4" w:space="0" w:color="FFFFFF"/>
            </w:tcBorders>
            <w:tcMar>
              <w:top w:w="0" w:type="dxa"/>
              <w:left w:w="0" w:type="dxa"/>
              <w:right w:w="0" w:type="dxa"/>
            </w:tcMar>
            <w:vAlign w:val="center"/>
          </w:tcPr>
          <w:p>
            <w:pPr>
              <w:pStyle w:val="Normal"/>
              <w:bidi w:val="0"/>
              <w:jc w:val="left"/>
              <w:rPr/>
            </w:pPr>
            <w:r>
              <w:rPr/>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24" w:type="dxa"/>
            <w:vMerge w:val="continue"/>
            <w:tcBorders/>
            <w:tcMar>
              <w:top w:w="0" w:type="dxa"/>
              <w:left w:w="0" w:type="dxa"/>
              <w:bottom w:w="0" w:type="dxa"/>
              <w:right w:w="0" w:type="dxa"/>
            </w:tcMar>
            <w:vAlign w:val="center"/>
          </w:tcPr>
          <w:p>
            <w:pPr>
              <w:pStyle w:val="Normal"/>
              <w:bidi w:val="0"/>
              <w:jc w:val="left"/>
              <w:rPr/>
            </w:pPr>
            <w:r>
              <w:rPr/>
            </w:r>
          </w:p>
        </w:tc>
      </w:tr>
      <w:tr>
        <w:trPr/>
        <w:tc>
          <w:tcPr>
            <w:tcW w:w="4035" w:type="dxa"/>
            <w:gridSpan w:val="2"/>
            <w:tcBorders/>
            <w:tcMar>
              <w:top w:w="0" w:type="dxa"/>
              <w:left w:w="0" w:type="dxa"/>
              <w:bottom w:w="0" w:type="dxa"/>
              <w:right w:w="0" w:type="dxa"/>
            </w:tcMar>
            <w:vAlign w:val="center"/>
          </w:tcPr>
          <w:p>
            <w:pPr>
              <w:pStyle w:val="TableContents"/>
              <w:bidi w:val="0"/>
              <w:spacing w:before="120" w:after="120"/>
              <w:jc w:val="both"/>
              <w:rPr>
                <w:rFonts w:ascii="Outfit;sans-serif" w:hAnsi="Outfit;sans-serif"/>
                <w:b/>
                <w:color w:val="3465B0"/>
                <w:sz w:val="20"/>
              </w:rPr>
            </w:pPr>
            <w:r>
              <w:rPr>
                <w:rFonts w:ascii="Outfit;sans-serif" w:hAnsi="Outfit;sans-serif"/>
                <w:b/>
                <w:color w:val="3465B0"/>
                <w:sz w:val="20"/>
              </w:rPr>
              <w:t>Former Public Company Boards</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Gores Technology Partners, Inc.</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024" w:type="dxa"/>
            <w:vMerge w:val="continue"/>
            <w:tcBorders/>
            <w:tcMar>
              <w:top w:w="0" w:type="dxa"/>
              <w:left w:w="0" w:type="dxa"/>
              <w:bottom w:w="0" w:type="dxa"/>
              <w:right w:w="0" w:type="dxa"/>
            </w:tcMar>
            <w:vAlign w:val="center"/>
          </w:tcPr>
          <w:p>
            <w:pPr>
              <w:pStyle w:val="Normal"/>
              <w:bidi w:val="0"/>
              <w:jc w:val="left"/>
              <w:rPr/>
            </w:pPr>
            <w:r>
              <w:rPr/>
            </w:r>
          </w:p>
        </w:tc>
      </w:tr>
      <w:tr>
        <w:trPr/>
        <w:tc>
          <w:tcPr>
            <w:tcW w:w="4035" w:type="dxa"/>
            <w:gridSpan w:val="2"/>
            <w:tcBorders/>
            <w:tcMar>
              <w:top w:w="0" w:type="dxa"/>
              <w:left w:w="0" w:type="dxa"/>
              <w:bottom w:w="0" w:type="dxa"/>
              <w:right w:w="0" w:type="dxa"/>
            </w:tcMar>
            <w:vAlign w:val="center"/>
          </w:tcPr>
          <w:p>
            <w:pPr>
              <w:pStyle w:val="TableContents"/>
              <w:bidi w:val="0"/>
              <w:spacing w:before="120" w:after="120"/>
              <w:jc w:val="left"/>
              <w:rPr>
                <w:rFonts w:ascii="Outfit;sans-serif" w:hAnsi="Outfit;sans-serif"/>
                <w:b/>
                <w:color w:val="3465B0"/>
                <w:sz w:val="20"/>
              </w:rPr>
            </w:pPr>
            <w:r>
              <w:rPr>
                <w:rFonts w:ascii="Outfit;sans-serif" w:hAnsi="Outfit;sans-serif"/>
                <w:b/>
                <w:color w:val="3465B0"/>
                <w:sz w:val="20"/>
              </w:rPr>
              <w:t>Education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Master of Business Administration, Analytical Finance and Strategic Marketing, degree from the Indian School of Business, Hyderabad, India</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Bachelor of Applied Science in Computer Engineering degree from the Nanyang Technological University, Singapore</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024"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20"/>
        <w:jc w:val="both"/>
        <w:rPr/>
      </w:pPr>
      <w:r>
        <w:rPr/>
        <w:t> </w:t>
      </w:r>
    </w:p>
    <w:p>
      <w:pPr>
        <w:pStyle w:val="TextBody"/>
        <w:bidi w:val="0"/>
        <w:jc w:val="center"/>
        <w:rPr>
          <w:rFonts w:ascii="Outfit;sans-serif" w:hAnsi="Outfit;sans-serif"/>
          <w:color w:val="000000"/>
          <w:sz w:val="22"/>
        </w:rPr>
      </w:pPr>
      <w:r>
        <w:rPr>
          <w:rFonts w:ascii="Outfit;sans-serif" w:hAnsi="Outfit;sans-serif"/>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4"/>
        <w:gridCol w:w="2197"/>
        <w:gridCol w:w="146"/>
        <w:gridCol w:w="6098"/>
      </w:tblGrid>
      <w:tr>
        <w:trPr/>
        <w:tc>
          <w:tcPr>
            <w:tcW w:w="176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8"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Langley Steinert</w:t>
            </w:r>
          </w:p>
        </w:tc>
      </w:tr>
      <w:tr>
        <w:trPr/>
        <w:tc>
          <w:tcPr>
            <w:tcW w:w="1764"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14400" cy="11906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 cy="1190625"/>
                          </a:xfrm>
                          <a:prstGeom prst="rect">
                            <a:avLst/>
                          </a:prstGeom>
                        </pic:spPr>
                      </pic:pic>
                    </a:graphicData>
                  </a:graphic>
                </wp:inline>
              </w:drawing>
            </w:r>
          </w:p>
        </w:tc>
        <w:tc>
          <w:tcPr>
            <w:tcW w:w="2197" w:type="dxa"/>
            <w:vMerge w:val="restart"/>
            <w:tcBorders/>
            <w:tcMar>
              <w:top w:w="0" w:type="dxa"/>
              <w:left w:w="0" w:type="dxa"/>
              <w:bottom w:w="0" w:type="dxa"/>
              <w:right w:w="0" w:type="dxa"/>
            </w:tcMar>
            <w:vAlign w:val="center"/>
          </w:tcPr>
          <w:p>
            <w:pPr>
              <w:pStyle w:val="TableContents"/>
              <w:bidi w:val="0"/>
              <w:spacing w:before="0" w:after="60"/>
              <w:jc w:val="left"/>
              <w:rPr>
                <w:rFonts w:ascii="Outfit;sans-serif" w:hAnsi="Outfit;sans-serif"/>
                <w:b/>
                <w:color w:val="3465B0"/>
                <w:sz w:val="20"/>
              </w:rPr>
            </w:pPr>
            <w:r>
              <w:rPr>
                <w:rFonts w:ascii="Outfit;sans-serif" w:hAnsi="Outfit;sans-serif"/>
                <w:b/>
                <w:color w:val="3465B0"/>
                <w:sz w:val="20"/>
              </w:rPr>
              <w:t>Class III Director</w:t>
            </w:r>
          </w:p>
          <w:p>
            <w:pPr>
              <w:pStyle w:val="TableContents"/>
              <w:bidi w:val="0"/>
              <w:jc w:val="left"/>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left"/>
              <w:rPr>
                <w:rFonts w:ascii="Outfit;sans-serif" w:hAnsi="Outfit;sans-serif"/>
                <w:color w:val="000000"/>
                <w:sz w:val="20"/>
              </w:rPr>
            </w:pPr>
            <w:r>
              <w:rPr>
                <w:rFonts w:ascii="Outfit;sans-serif" w:hAnsi="Outfit;sans-serif"/>
                <w:color w:val="000000"/>
                <w:sz w:val="20"/>
              </w:rPr>
              <w:t>March 2006</w:t>
            </w:r>
          </w:p>
          <w:p>
            <w:pPr>
              <w:pStyle w:val="TableContents"/>
              <w:bidi w:val="0"/>
              <w:jc w:val="left"/>
              <w:rPr>
                <w:rFonts w:ascii="Outfit;sans-serif" w:hAnsi="Outfit;sans-serif"/>
                <w:b/>
                <w:color w:val="3465B0"/>
                <w:sz w:val="20"/>
              </w:rPr>
            </w:pPr>
            <w:r>
              <w:rPr>
                <w:rFonts w:ascii="Outfit;sans-serif" w:hAnsi="Outfit;sans-serif"/>
                <w:b/>
                <w:color w:val="3465B0"/>
                <w:sz w:val="20"/>
              </w:rPr>
              <w:t>Chair Since</w:t>
            </w:r>
          </w:p>
          <w:p>
            <w:pPr>
              <w:pStyle w:val="TableContents"/>
              <w:bidi w:val="0"/>
              <w:spacing w:before="0" w:after="60"/>
              <w:jc w:val="left"/>
              <w:rPr>
                <w:rFonts w:ascii="Outfit;sans-serif" w:hAnsi="Outfit;sans-serif"/>
                <w:color w:val="000000"/>
                <w:sz w:val="20"/>
              </w:rPr>
            </w:pPr>
            <w:r>
              <w:rPr>
                <w:rFonts w:ascii="Outfit;sans-serif" w:hAnsi="Outfit;sans-serif"/>
                <w:color w:val="000000"/>
                <w:sz w:val="20"/>
              </w:rPr>
              <w:t>September 2017</w:t>
            </w:r>
          </w:p>
          <w:p>
            <w:pPr>
              <w:pStyle w:val="TableContents"/>
              <w:bidi w:val="0"/>
              <w:spacing w:before="0" w:after="60"/>
              <w:jc w:val="left"/>
              <w:rPr>
                <w:rFonts w:ascii="Times New Roman" w:hAnsi="Times New Roman"/>
                <w:sz w:val="20"/>
              </w:rPr>
            </w:pPr>
            <w:r>
              <w:rPr>
                <w:rFonts w:ascii="Outfit;sans-serif" w:hAnsi="Outfit;sans-serif"/>
                <w:b/>
                <w:color w:val="3465B0"/>
                <w:sz w:val="20"/>
              </w:rPr>
              <w:t xml:space="preserve">Executive Chair Since </w:t>
            </w:r>
            <w:r>
              <w:rPr>
                <w:rFonts w:ascii="Outfit;sans-serif" w:hAnsi="Outfit;sans-serif"/>
                <w:color w:val="000000"/>
                <w:sz w:val="20"/>
              </w:rPr>
              <w:t>January 2021</w:t>
            </w:r>
          </w:p>
          <w:p>
            <w:pPr>
              <w:pStyle w:val="TableContents"/>
              <w:bidi w:val="0"/>
              <w:spacing w:before="0" w:after="60"/>
              <w:jc w:val="left"/>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98"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Founder and member of the Board, CarGurus (since March 2006); Executive Chair, CarGurus (since January 2021); Chair, CarGurus (since September 2017); Chief Executive Officer, CarGurus (March 2006 to January 2021); President, CarGurus (June 2015 to February 2019)</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and Chairman of the Board, ApartmentAdvisor, Inc., an apartment rental marketplace (since October 2020)</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 xml:space="preserve">Co-founder and Chairman of TripAdvisor (February 2000 through February 2006) </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We believe Mr. Steinert is qualified to serve as a member of the Board because of his extensive experience in the online marketplace industry. As our founder and Executive Chair, we also value his deep understanding of our business as it has evolved over time.</w:t>
            </w:r>
          </w:p>
        </w:tc>
      </w:tr>
      <w:tr>
        <w:trPr/>
        <w:tc>
          <w:tcPr>
            <w:tcW w:w="1764" w:type="dxa"/>
            <w:vMerge w:val="continue"/>
            <w:tcBorders/>
            <w:tcMar>
              <w:top w:w="0" w:type="dxa"/>
              <w:left w:w="0" w:type="dxa"/>
              <w:bottom w:w="0" w:type="dxa"/>
              <w:right w:w="0" w:type="dxa"/>
            </w:tcMar>
            <w:vAlign w:val="center"/>
          </w:tcPr>
          <w:p>
            <w:pPr>
              <w:pStyle w:val="Normal"/>
              <w:bidi w:val="0"/>
              <w:jc w:val="left"/>
              <w:rPr/>
            </w:pPr>
            <w:r>
              <w:rPr/>
            </w:r>
          </w:p>
        </w:tc>
        <w:tc>
          <w:tcPr>
            <w:tcW w:w="219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098" w:type="dxa"/>
            <w:vMerge w:val="continue"/>
            <w:tcBorders/>
            <w:tcMar>
              <w:top w:w="0" w:type="dxa"/>
              <w:left w:w="0" w:type="dxa"/>
              <w:bottom w:w="0" w:type="dxa"/>
              <w:right w:w="0" w:type="dxa"/>
            </w:tcMar>
            <w:vAlign w:val="center"/>
          </w:tcPr>
          <w:p>
            <w:pPr>
              <w:pStyle w:val="Normal"/>
              <w:bidi w:val="0"/>
              <w:jc w:val="left"/>
              <w:rPr/>
            </w:pPr>
            <w:r>
              <w:rPr/>
            </w:r>
          </w:p>
        </w:tc>
      </w:tr>
      <w:tr>
        <w:trPr/>
        <w:tc>
          <w:tcPr>
            <w:tcW w:w="3961" w:type="dxa"/>
            <w:gridSpan w:val="2"/>
            <w:tcBorders/>
            <w:tcMar>
              <w:top w:w="0" w:type="dxa"/>
              <w:left w:w="0" w:type="dxa"/>
              <w:bottom w:w="0" w:type="dxa"/>
              <w:right w:w="0" w:type="dxa"/>
            </w:tcMar>
            <w:vAlign w:val="center"/>
          </w:tcPr>
          <w:p>
            <w:pPr>
              <w:pStyle w:val="TableContents"/>
              <w:bidi w:val="0"/>
              <w:spacing w:before="120" w:after="120"/>
              <w:jc w:val="both"/>
              <w:rPr>
                <w:rFonts w:ascii="Outfit;sans-serif" w:hAnsi="Outfit;sans-serif"/>
                <w:b/>
                <w:color w:val="3465B0"/>
                <w:sz w:val="20"/>
              </w:rPr>
            </w:pPr>
            <w:r>
              <w:rPr>
                <w:rFonts w:ascii="Outfit;sans-serif" w:hAnsi="Outfit;sans-serif"/>
                <w:b/>
                <w:color w:val="3465B0"/>
                <w:sz w:val="20"/>
              </w:rPr>
              <w:t>Other Private Institution Boards</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Tuck School of Business at Dartmouth College</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098" w:type="dxa"/>
            <w:vMerge w:val="continue"/>
            <w:tcBorders/>
            <w:tcMar>
              <w:top w:w="0" w:type="dxa"/>
              <w:left w:w="0" w:type="dxa"/>
              <w:bottom w:w="0" w:type="dxa"/>
              <w:right w:w="0" w:type="dxa"/>
            </w:tcMar>
            <w:vAlign w:val="center"/>
          </w:tcPr>
          <w:p>
            <w:pPr>
              <w:pStyle w:val="Normal"/>
              <w:bidi w:val="0"/>
              <w:jc w:val="left"/>
              <w:rPr/>
            </w:pPr>
            <w:r>
              <w:rPr/>
            </w:r>
          </w:p>
        </w:tc>
      </w:tr>
      <w:tr>
        <w:trPr/>
        <w:tc>
          <w:tcPr>
            <w:tcW w:w="3961" w:type="dxa"/>
            <w:gridSpan w:val="2"/>
            <w:tcBorders/>
            <w:tcMar>
              <w:top w:w="0" w:type="dxa"/>
              <w:left w:w="0" w:type="dxa"/>
              <w:bottom w:w="0" w:type="dxa"/>
              <w:right w:w="0" w:type="dxa"/>
            </w:tcMar>
            <w:vAlign w:val="center"/>
          </w:tcPr>
          <w:p>
            <w:pPr>
              <w:pStyle w:val="TableContents"/>
              <w:bidi w:val="0"/>
              <w:spacing w:before="120" w:after="120"/>
              <w:jc w:val="left"/>
              <w:rPr>
                <w:rFonts w:ascii="Outfit;sans-serif" w:hAnsi="Outfit;sans-serif"/>
                <w:b/>
                <w:color w:val="3465B0"/>
                <w:sz w:val="20"/>
              </w:rPr>
            </w:pPr>
            <w:r>
              <w:rPr>
                <w:rFonts w:ascii="Outfit;sans-serif" w:hAnsi="Outfit;sans-serif"/>
                <w:b/>
                <w:color w:val="3465B0"/>
                <w:sz w:val="20"/>
              </w:rPr>
              <w:t>Education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Master of Business Administration degree from the Tuck School of Business at Dartmouth College</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Bachelor of Arts degree from Georgetown University</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098"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both"/>
        <w:rPr/>
      </w:pPr>
      <w:r>
        <w:rPr/>
        <w:t> </w:t>
      </w:r>
    </w:p>
    <w:p>
      <w:pPr>
        <w:pStyle w:val="TextBody"/>
        <w:bidi w:val="0"/>
        <w:jc w:val="center"/>
        <w:rPr>
          <w:rFonts w:ascii="Outfit;sans-serif" w:hAnsi="Outfit;sans-serif"/>
          <w:color w:val="000000"/>
          <w:sz w:val="22"/>
        </w:rPr>
      </w:pPr>
      <w:r>
        <w:rPr>
          <w:rFonts w:ascii="Outfit;sans-serif" w:hAnsi="Outfit;sans-serif"/>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Continuing Directors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 biography of each of our continuing directors, current as of April 1, 2026, setting forth their age and describing their business experience during the past five years, including other prior relevant business experience, is presented below.</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Class I Directors (Term Expiring 2027)</w:t>
      </w:r>
    </w:p>
    <w:tbl>
      <w:tblPr>
        <w:tblW w:w="10205" w:type="dxa"/>
        <w:jc w:val="left"/>
        <w:tblInd w:w="0" w:type="dxa"/>
        <w:tblLayout w:type="fixed"/>
        <w:tblCellMar>
          <w:top w:w="28" w:type="dxa"/>
          <w:left w:w="28" w:type="dxa"/>
          <w:bottom w:w="28" w:type="dxa"/>
          <w:right w:w="28" w:type="dxa"/>
        </w:tblCellMar>
      </w:tblPr>
      <w:tblGrid>
        <w:gridCol w:w="1844"/>
        <w:gridCol w:w="1728"/>
        <w:gridCol w:w="146"/>
        <w:gridCol w:w="6487"/>
      </w:tblGrid>
      <w:tr>
        <w:trPr/>
        <w:tc>
          <w:tcPr>
            <w:tcW w:w="184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7"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Lori Hickok</w:t>
            </w:r>
          </w:p>
        </w:tc>
      </w:tr>
      <w:tr>
        <w:trPr/>
        <w:tc>
          <w:tcPr>
            <w:tcW w:w="1844"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23925" cy="11525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23925" cy="1152525"/>
                          </a:xfrm>
                          <a:prstGeom prst="rect">
                            <a:avLst/>
                          </a:prstGeom>
                        </pic:spPr>
                      </pic:pic>
                    </a:graphicData>
                  </a:graphic>
                </wp:inline>
              </w:drawing>
            </w:r>
          </w:p>
        </w:tc>
        <w:tc>
          <w:tcPr>
            <w:tcW w:w="1728" w:type="dxa"/>
            <w:vMerge w:val="restart"/>
            <w:tcBorders/>
            <w:tcMar>
              <w:top w:w="0" w:type="dxa"/>
              <w:left w:w="0" w:type="dxa"/>
              <w:bottom w:w="0" w:type="dxa"/>
              <w:right w:w="0" w:type="dxa"/>
            </w:tcMar>
            <w:vAlign w:val="center"/>
          </w:tcPr>
          <w:p>
            <w:pPr>
              <w:pStyle w:val="TableContents"/>
              <w:bidi w:val="0"/>
              <w:spacing w:before="0" w:after="60"/>
              <w:jc w:val="both"/>
              <w:rPr>
                <w:rFonts w:ascii="Outfit;sans-serif" w:hAnsi="Outfit;sans-serif"/>
                <w:b/>
                <w:color w:val="3465B0"/>
                <w:sz w:val="20"/>
              </w:rPr>
            </w:pPr>
            <w:r>
              <w:rPr>
                <w:rFonts w:ascii="Outfit;sans-serif" w:hAnsi="Outfit;sans-serif"/>
                <w:b/>
                <w:color w:val="3465B0"/>
                <w:sz w:val="20"/>
              </w:rPr>
              <w:t>Class I Director</w:t>
            </w:r>
          </w:p>
          <w:p>
            <w:pPr>
              <w:pStyle w:val="TableContents"/>
              <w:bidi w:val="0"/>
              <w:jc w:val="both"/>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August 2018</w:t>
            </w:r>
          </w:p>
          <w:p>
            <w:pPr>
              <w:pStyle w:val="TableContents"/>
              <w:bidi w:val="0"/>
              <w:jc w:val="both"/>
              <w:rPr>
                <w:rFonts w:ascii="Outfit;sans-serif" w:hAnsi="Outfit;sans-serif"/>
                <w:b/>
                <w:color w:val="3465B0"/>
                <w:sz w:val="20"/>
              </w:rPr>
            </w:pPr>
            <w:r>
              <w:rPr>
                <w:rFonts w:ascii="Outfit;sans-serif" w:hAnsi="Outfit;sans-serif"/>
                <w:b/>
                <w:color w:val="3465B0"/>
                <w:sz w:val="20"/>
              </w:rPr>
              <w:t>Committee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Audit – Chair</w:t>
            </w:r>
          </w:p>
          <w:p>
            <w:pPr>
              <w:pStyle w:val="TableContents"/>
              <w:bidi w:val="0"/>
              <w:spacing w:before="0" w:after="60"/>
              <w:jc w:val="both"/>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87"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Executive Vice President, Chief Financial and Development Officer, Scripps Networks Interactive, Inc., a leading developer of engaging lifestyle content in the home, food, and travel categories for television, the internet, and emerging platforms (July 2017 to April 2018)</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Executive Vice President, Chief Financial Officer, Scripps (March 2015 to June 2017); Executive Vice President, Finance, Scripps (July 2008 to February 2015)</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 xml:space="preserve">Vice President and Corporate Controller, The E.W. Scripps Company (2002 to July 2008) </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Ms. Hickok first joined E.W. Scripps in 1988 as a financial analyst in the corporate finance department, and held positions as the Chief Analyst for Corporate Development, New Media Operations Controller, and Divisional Controller for E.W. Scripps’s former cable television systems division, which merged in 1996 with Comcast Corporation</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Times New Roman" w:hAnsi="Times New Roman"/>
                <w:sz w:val="20"/>
              </w:rPr>
            </w:pPr>
            <w:r>
              <w:rPr>
                <w:rFonts w:ascii="Outfit;sans-serif" w:hAnsi="Outfit;sans-serif"/>
                <w:color w:val="000000"/>
                <w:sz w:val="20"/>
              </w:rPr>
              <w:t>We believe Ms. Hickok is qualified to serve as a member of the Board because of her extensive finance and accounting background, including as an executive officer at a public company, and her experience as an executive in the media and internet industries</w:t>
            </w:r>
            <w:r>
              <w:rPr>
                <w:rFonts w:ascii="Outfit;sans-serif" w:hAnsi="Outfit;sans-serif"/>
                <w:color w:val="00002D"/>
                <w:sz w:val="20"/>
              </w:rPr>
              <w:t>.</w:t>
            </w:r>
          </w:p>
        </w:tc>
      </w:tr>
      <w:tr>
        <w:trPr/>
        <w:tc>
          <w:tcPr>
            <w:tcW w:w="1844" w:type="dxa"/>
            <w:vMerge w:val="continue"/>
            <w:tcBorders/>
            <w:tcMar>
              <w:top w:w="0" w:type="dxa"/>
              <w:left w:w="0" w:type="dxa"/>
              <w:bottom w:w="0" w:type="dxa"/>
              <w:right w:w="0" w:type="dxa"/>
            </w:tcMar>
            <w:vAlign w:val="center"/>
          </w:tcPr>
          <w:p>
            <w:pPr>
              <w:pStyle w:val="Normal"/>
              <w:bidi w:val="0"/>
              <w:jc w:val="left"/>
              <w:rPr/>
            </w:pPr>
            <w:r>
              <w:rPr/>
            </w:r>
          </w:p>
        </w:tc>
        <w:tc>
          <w:tcPr>
            <w:tcW w:w="1728"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487" w:type="dxa"/>
            <w:vMerge w:val="continue"/>
            <w:tcBorders/>
            <w:tcMar>
              <w:top w:w="0" w:type="dxa"/>
              <w:left w:w="0" w:type="dxa"/>
              <w:bottom w:w="0" w:type="dxa"/>
              <w:right w:w="0" w:type="dxa"/>
            </w:tcMar>
            <w:vAlign w:val="center"/>
          </w:tcPr>
          <w:p>
            <w:pPr>
              <w:pStyle w:val="Normal"/>
              <w:bidi w:val="0"/>
              <w:jc w:val="left"/>
              <w:rPr/>
            </w:pPr>
            <w:r>
              <w:rPr/>
            </w:r>
          </w:p>
        </w:tc>
      </w:tr>
      <w:tr>
        <w:trPr/>
        <w:tc>
          <w:tcPr>
            <w:tcW w:w="3572" w:type="dxa"/>
            <w:gridSpan w:val="2"/>
            <w:tcBorders/>
            <w:tcMar>
              <w:top w:w="0" w:type="dxa"/>
              <w:left w:w="0" w:type="dxa"/>
              <w:bottom w:w="0" w:type="dxa"/>
              <w:right w:w="0" w:type="dxa"/>
            </w:tcMar>
            <w:vAlign w:val="center"/>
          </w:tcPr>
          <w:p>
            <w:pPr>
              <w:pStyle w:val="TableContents"/>
              <w:bidi w:val="0"/>
              <w:spacing w:before="120" w:after="120"/>
              <w:jc w:val="both"/>
              <w:rPr>
                <w:rFonts w:ascii="Outfit;sans-serif" w:hAnsi="Outfit;sans-serif"/>
                <w:b/>
                <w:color w:val="3465B0"/>
                <w:sz w:val="20"/>
              </w:rPr>
            </w:pPr>
            <w:r>
              <w:rPr>
                <w:rFonts w:ascii="Outfit;sans-serif" w:hAnsi="Outfit;sans-serif"/>
                <w:b/>
                <w:color w:val="3465B0"/>
                <w:sz w:val="20"/>
              </w:rPr>
              <w:t>Other Public Company Boards</w:t>
            </w:r>
          </w:p>
          <w:p>
            <w:pPr>
              <w:pStyle w:val="TableContents"/>
              <w:bidi w:val="0"/>
              <w:spacing w:before="0" w:after="0"/>
              <w:jc w:val="both"/>
              <w:rPr>
                <w:color w:val="000000"/>
              </w:rPr>
            </w:pPr>
            <w:r>
              <w:rPr>
                <w:color w:val="000000"/>
              </w:rPr>
              <w:t>•</w:t>
            </w:r>
          </w:p>
          <w:p>
            <w:pPr>
              <w:pStyle w:val="TableContents"/>
              <w:bidi w:val="0"/>
              <w:jc w:val="both"/>
              <w:rPr>
                <w:rFonts w:ascii="Outfit;sans-serif" w:hAnsi="Outfit;sans-serif"/>
                <w:color w:val="000000"/>
                <w:sz w:val="20"/>
              </w:rPr>
            </w:pPr>
            <w:r>
              <w:rPr>
                <w:rFonts w:ascii="Outfit;sans-serif" w:hAnsi="Outfit;sans-serif"/>
                <w:color w:val="000000"/>
                <w:sz w:val="20"/>
              </w:rPr>
              <w:t>1stdibs.com, Inc.</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Other Private Company Boards</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Second Harvest Food Bank of East Tennessee</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487" w:type="dxa"/>
            <w:vMerge w:val="continue"/>
            <w:tcBorders/>
            <w:tcMar>
              <w:top w:w="0" w:type="dxa"/>
              <w:left w:w="0" w:type="dxa"/>
              <w:bottom w:w="0" w:type="dxa"/>
              <w:right w:w="0" w:type="dxa"/>
            </w:tcMar>
            <w:vAlign w:val="center"/>
          </w:tcPr>
          <w:p>
            <w:pPr>
              <w:pStyle w:val="Normal"/>
              <w:bidi w:val="0"/>
              <w:jc w:val="left"/>
              <w:rPr/>
            </w:pPr>
            <w:r>
              <w:rPr/>
            </w:r>
          </w:p>
        </w:tc>
      </w:tr>
      <w:tr>
        <w:trPr/>
        <w:tc>
          <w:tcPr>
            <w:tcW w:w="3572" w:type="dxa"/>
            <w:gridSpan w:val="2"/>
            <w:tcBorders/>
            <w:tcMar>
              <w:top w:w="0" w:type="dxa"/>
              <w:left w:w="0" w:type="dxa"/>
              <w:bottom w:w="0" w:type="dxa"/>
              <w:right w:w="0" w:type="dxa"/>
            </w:tcMar>
            <w:vAlign w:val="center"/>
          </w:tcPr>
          <w:p>
            <w:pPr>
              <w:pStyle w:val="TableContents"/>
              <w:bidi w:val="0"/>
              <w:spacing w:before="120" w:after="120"/>
              <w:jc w:val="left"/>
              <w:rPr>
                <w:rFonts w:ascii="Outfit;sans-serif" w:hAnsi="Outfit;sans-serif"/>
                <w:b/>
                <w:color w:val="3465B0"/>
                <w:sz w:val="20"/>
              </w:rPr>
            </w:pPr>
            <w:r>
              <w:rPr>
                <w:rFonts w:ascii="Outfit;sans-serif" w:hAnsi="Outfit;sans-serif"/>
                <w:b/>
                <w:color w:val="3465B0"/>
                <w:sz w:val="20"/>
              </w:rPr>
              <w:t>Education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Retired Certified Public Accountant</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Bachelor of Science degree in Accounting &amp; Finance from Miami University</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487"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20"/>
        <w:jc w:val="both"/>
        <w:rPr/>
      </w:pPr>
      <w:r>
        <w:rPr/>
        <w:t> </w:t>
      </w:r>
    </w:p>
    <w:p>
      <w:pPr>
        <w:pStyle w:val="TextBody"/>
        <w:bidi w:val="0"/>
        <w:jc w:val="center"/>
        <w:rPr>
          <w:rFonts w:ascii="Outfit;sans-serif" w:hAnsi="Outfit;sans-serif"/>
          <w:color w:val="000000"/>
          <w:sz w:val="22"/>
        </w:rPr>
      </w:pPr>
      <w:r>
        <w:rPr>
          <w:rFonts w:ascii="Outfit;sans-serif" w:hAnsi="Outfit;sans-serif"/>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4"/>
        <w:gridCol w:w="1669"/>
        <w:gridCol w:w="146"/>
        <w:gridCol w:w="6606"/>
      </w:tblGrid>
      <w:tr>
        <w:trPr/>
        <w:tc>
          <w:tcPr>
            <w:tcW w:w="178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6"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Greg Schwartz</w:t>
            </w:r>
          </w:p>
        </w:tc>
      </w:tr>
      <w:tr>
        <w:trPr/>
        <w:tc>
          <w:tcPr>
            <w:tcW w:w="1784"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23925" cy="11525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23925" cy="1152525"/>
                          </a:xfrm>
                          <a:prstGeom prst="rect">
                            <a:avLst/>
                          </a:prstGeom>
                        </pic:spPr>
                      </pic:pic>
                    </a:graphicData>
                  </a:graphic>
                </wp:inline>
              </w:drawing>
            </w:r>
          </w:p>
        </w:tc>
        <w:tc>
          <w:tcPr>
            <w:tcW w:w="1669" w:type="dxa"/>
            <w:vMerge w:val="restart"/>
            <w:tcBorders/>
            <w:tcMar>
              <w:top w:w="0" w:type="dxa"/>
              <w:left w:w="0" w:type="dxa"/>
              <w:bottom w:w="0" w:type="dxa"/>
              <w:right w:w="0" w:type="dxa"/>
            </w:tcMar>
            <w:vAlign w:val="center"/>
          </w:tcPr>
          <w:p>
            <w:pPr>
              <w:pStyle w:val="TableContents"/>
              <w:bidi w:val="0"/>
              <w:spacing w:before="0" w:after="60"/>
              <w:jc w:val="both"/>
              <w:rPr>
                <w:rFonts w:ascii="Outfit;sans-serif" w:hAnsi="Outfit;sans-serif"/>
                <w:b/>
                <w:color w:val="3465B0"/>
                <w:sz w:val="20"/>
              </w:rPr>
            </w:pPr>
            <w:r>
              <w:rPr>
                <w:rFonts w:ascii="Outfit;sans-serif" w:hAnsi="Outfit;sans-serif"/>
                <w:b/>
                <w:color w:val="3465B0"/>
                <w:sz w:val="20"/>
              </w:rPr>
              <w:t>Class I Director</w:t>
            </w:r>
          </w:p>
          <w:p>
            <w:pPr>
              <w:pStyle w:val="TableContents"/>
              <w:bidi w:val="0"/>
              <w:jc w:val="both"/>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March 2018</w:t>
            </w:r>
          </w:p>
          <w:p>
            <w:pPr>
              <w:pStyle w:val="TableContents"/>
              <w:bidi w:val="0"/>
              <w:jc w:val="both"/>
              <w:rPr>
                <w:rFonts w:ascii="Outfit;sans-serif" w:hAnsi="Outfit;sans-serif"/>
                <w:b/>
                <w:color w:val="3465B0"/>
                <w:sz w:val="20"/>
              </w:rPr>
            </w:pPr>
            <w:r>
              <w:rPr>
                <w:rFonts w:ascii="Outfit;sans-serif" w:hAnsi="Outfit;sans-serif"/>
                <w:b/>
                <w:color w:val="3465B0"/>
                <w:sz w:val="20"/>
              </w:rPr>
              <w:t>Committee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Audit</w:t>
            </w:r>
          </w:p>
          <w:p>
            <w:pPr>
              <w:pStyle w:val="TableContents"/>
              <w:bidi w:val="0"/>
              <w:spacing w:before="0" w:after="60"/>
              <w:jc w:val="both"/>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6"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Chief Executive Officer, and Chairman of the Board of Directors, Tomo Networks, Inc., an internet-based mortgage and real estate company (since June 2020)</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President Media &amp; Marketplaces, Zillow Group, Inc., an online real estate marketplace (June 2018 to December 2019); Chief Business Officer, Zillow (August 2015 to June 2018); Chief Revenue Officer, Zillow (September 2010 to August 2015); Vice President of Sales, Zillow (March 2007 to September 2010)</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National Accounts Director for the Automotive and Finance Properties, Yahoo!, Inc., an online search company (August 2001 to July 2005)</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Various positions at DoubleClick, Inc., an online advertising company, including Director of Business Development (1998 to 2000)</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Times New Roman" w:hAnsi="Times New Roman"/>
                <w:sz w:val="20"/>
              </w:rPr>
            </w:pPr>
            <w:r>
              <w:rPr>
                <w:rFonts w:ascii="Outfit;sans-serif" w:hAnsi="Outfit;sans-serif"/>
                <w:color w:val="000000"/>
                <w:sz w:val="20"/>
              </w:rPr>
              <w:t>We believe Mr. Schwartz is qualified to serve as a member of the Board because of his extensive experience as an executive in the online marketplace industry and as an executive officer at a public company</w:t>
            </w:r>
            <w:r>
              <w:rPr>
                <w:rFonts w:ascii="Outfit;sans-serif" w:hAnsi="Outfit;sans-serif"/>
                <w:color w:val="00002D"/>
                <w:sz w:val="20"/>
              </w:rPr>
              <w:t>.</w:t>
            </w:r>
          </w:p>
        </w:tc>
      </w:tr>
      <w:tr>
        <w:trPr/>
        <w:tc>
          <w:tcPr>
            <w:tcW w:w="1784" w:type="dxa"/>
            <w:vMerge w:val="continue"/>
            <w:tcBorders/>
            <w:tcMar>
              <w:top w:w="0" w:type="dxa"/>
              <w:left w:w="0" w:type="dxa"/>
              <w:bottom w:w="0" w:type="dxa"/>
              <w:right w:w="0" w:type="dxa"/>
            </w:tcMar>
            <w:vAlign w:val="center"/>
          </w:tcPr>
          <w:p>
            <w:pPr>
              <w:pStyle w:val="Normal"/>
              <w:bidi w:val="0"/>
              <w:jc w:val="left"/>
              <w:rPr/>
            </w:pPr>
            <w:r>
              <w:rPr/>
            </w:r>
          </w:p>
        </w:tc>
        <w:tc>
          <w:tcPr>
            <w:tcW w:w="1669"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06" w:type="dxa"/>
            <w:vMerge w:val="continue"/>
            <w:tcBorders/>
            <w:tcMar>
              <w:top w:w="0" w:type="dxa"/>
              <w:left w:w="0" w:type="dxa"/>
              <w:bottom w:w="0" w:type="dxa"/>
              <w:right w:w="0" w:type="dxa"/>
            </w:tcMar>
            <w:vAlign w:val="center"/>
          </w:tcPr>
          <w:p>
            <w:pPr>
              <w:pStyle w:val="Normal"/>
              <w:bidi w:val="0"/>
              <w:jc w:val="left"/>
              <w:rPr/>
            </w:pPr>
            <w:r>
              <w:rPr/>
            </w:r>
          </w:p>
        </w:tc>
      </w:tr>
      <w:tr>
        <w:trPr/>
        <w:tc>
          <w:tcPr>
            <w:tcW w:w="3453" w:type="dxa"/>
            <w:gridSpan w:val="2"/>
            <w:tcBorders/>
            <w:tcMar>
              <w:top w:w="0" w:type="dxa"/>
              <w:left w:w="0" w:type="dxa"/>
              <w:bottom w:w="0" w:type="dxa"/>
              <w:right w:w="0" w:type="dxa"/>
            </w:tcMar>
            <w:vAlign w:val="center"/>
          </w:tcPr>
          <w:p>
            <w:pPr>
              <w:pStyle w:val="TableContents"/>
              <w:bidi w:val="0"/>
              <w:spacing w:before="120" w:after="120"/>
              <w:jc w:val="left"/>
              <w:rPr>
                <w:rFonts w:ascii="sans-serif" w:hAnsi="sans-serif"/>
                <w:b/>
                <w:color w:val="3465B0"/>
                <w:sz w:val="20"/>
              </w:rPr>
            </w:pPr>
            <w:r>
              <w:rPr>
                <w:rFonts w:ascii="sans-serif" w:hAnsi="sans-serif"/>
                <w:b/>
                <w:color w:val="3465B0"/>
                <w:sz w:val="20"/>
              </w:rPr>
              <w:t>Education</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Bachelor of Arts degree in Government from Hamilton College</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0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43"/>
        <w:gridCol w:w="1717"/>
        <w:gridCol w:w="146"/>
        <w:gridCol w:w="6299"/>
      </w:tblGrid>
      <w:tr>
        <w:trPr/>
        <w:tc>
          <w:tcPr>
            <w:tcW w:w="2043"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9"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Jason Trevisan</w:t>
            </w:r>
          </w:p>
        </w:tc>
      </w:tr>
      <w:tr>
        <w:trPr/>
        <w:tc>
          <w:tcPr>
            <w:tcW w:w="2043" w:type="dxa"/>
            <w:vMerge w:val="restart"/>
            <w:tcBorders/>
            <w:tcMar>
              <w:top w:w="0" w:type="dxa"/>
              <w:left w:w="0" w:type="dxa"/>
              <w:bottom w:w="0" w:type="dxa"/>
              <w:right w:w="0" w:type="dxa"/>
            </w:tcMar>
            <w:vAlign w:val="center"/>
          </w:tcPr>
          <w:p>
            <w:pPr>
              <w:pStyle w:val="TableContents"/>
              <w:bidi w:val="0"/>
              <w:spacing w:before="0" w:after="120"/>
              <w:jc w:val="center"/>
              <w:rPr/>
            </w:pPr>
            <w:r>
              <w:rPr/>
              <w:drawing>
                <wp:inline distT="0" distB="0" distL="0" distR="0">
                  <wp:extent cx="914400" cy="11906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 cy="1190625"/>
                          </a:xfrm>
                          <a:prstGeom prst="rect">
                            <a:avLst/>
                          </a:prstGeom>
                        </pic:spPr>
                      </pic:pic>
                    </a:graphicData>
                  </a:graphic>
                </wp:inline>
              </w:drawing>
            </w:r>
          </w:p>
        </w:tc>
        <w:tc>
          <w:tcPr>
            <w:tcW w:w="1717" w:type="dxa"/>
            <w:vMerge w:val="restart"/>
            <w:tcBorders/>
            <w:tcMar>
              <w:top w:w="0" w:type="dxa"/>
              <w:left w:w="0" w:type="dxa"/>
              <w:bottom w:w="0" w:type="dxa"/>
              <w:right w:w="0" w:type="dxa"/>
            </w:tcMar>
            <w:vAlign w:val="center"/>
          </w:tcPr>
          <w:p>
            <w:pPr>
              <w:pStyle w:val="TableContents"/>
              <w:bidi w:val="0"/>
              <w:spacing w:before="0" w:after="60"/>
              <w:jc w:val="both"/>
              <w:rPr>
                <w:rFonts w:ascii="Outfit;sans-serif" w:hAnsi="Outfit;sans-serif"/>
                <w:b/>
                <w:color w:val="3465B0"/>
                <w:sz w:val="20"/>
              </w:rPr>
            </w:pPr>
            <w:r>
              <w:rPr>
                <w:rFonts w:ascii="Outfit;sans-serif" w:hAnsi="Outfit;sans-serif"/>
                <w:b/>
                <w:color w:val="3465B0"/>
                <w:sz w:val="20"/>
              </w:rPr>
              <w:t>Class I Director</w:t>
            </w:r>
          </w:p>
          <w:p>
            <w:pPr>
              <w:pStyle w:val="TableContents"/>
              <w:bidi w:val="0"/>
              <w:jc w:val="both"/>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January 2021</w:t>
            </w:r>
          </w:p>
          <w:p>
            <w:pPr>
              <w:pStyle w:val="TableContents"/>
              <w:bidi w:val="0"/>
              <w:spacing w:before="0" w:after="283"/>
              <w:jc w:val="both"/>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99"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Chief Executive Officer and member of the Board, CarGurus (since January 2021); interim Principal Financial Officer, Principal Accounting Officer, and Treasurer, CarGurus (since March 2025 and October 2022 to December 2023)</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Chief Financial Officer, CarGurus (September 2015 to January 2021); Treasurer, CarGurus (September 2015 to January 2021); President, International, CarGurus (January 2020 to January 2021)</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General Partner, Polaris Partners, a venture capital firm (September 2003 to August 2015); while at Polaris, Mr. Trevisan led investments in and served as a director of numerous consumer internet and software companies including LegalZoom, PartsSource, Shoedazzle, and The Roberts Group</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Management roles in analytics and client services, aQuantive, a digital marketing service and technology company that was acquired by Microsoft Corporation in 2007 (September 1999 to June 2001)</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Consultant, Bain &amp; Company, a management consulting company (July 1996 to August 1999)</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Times New Roman" w:hAnsi="Times New Roman"/>
                <w:sz w:val="20"/>
              </w:rPr>
            </w:pPr>
            <w:r>
              <w:rPr>
                <w:rFonts w:ascii="Outfit;sans-serif" w:hAnsi="Outfit;sans-serif"/>
                <w:color w:val="000000"/>
                <w:sz w:val="20"/>
              </w:rPr>
              <w:t>We believe Mr. Trevisan is qualified to serve as a member of the Board because of his extensive experience in the online marketplace industry and his deep understanding of our business as it has evolved over time</w:t>
            </w:r>
            <w:r>
              <w:rPr>
                <w:rFonts w:ascii="Outfit;sans-serif" w:hAnsi="Outfit;sans-serif"/>
                <w:color w:val="00002D"/>
                <w:sz w:val="20"/>
              </w:rPr>
              <w:t>.</w:t>
            </w:r>
          </w:p>
        </w:tc>
      </w:tr>
      <w:tr>
        <w:trPr/>
        <w:tc>
          <w:tcPr>
            <w:tcW w:w="2043" w:type="dxa"/>
            <w:vMerge w:val="continue"/>
            <w:tcBorders/>
            <w:tcMar>
              <w:top w:w="0" w:type="dxa"/>
              <w:left w:w="0" w:type="dxa"/>
              <w:bottom w:w="0" w:type="dxa"/>
              <w:right w:w="0" w:type="dxa"/>
            </w:tcMar>
            <w:vAlign w:val="center"/>
          </w:tcPr>
          <w:p>
            <w:pPr>
              <w:pStyle w:val="Normal"/>
              <w:bidi w:val="0"/>
              <w:jc w:val="left"/>
              <w:rPr/>
            </w:pPr>
            <w:r>
              <w:rPr/>
            </w:r>
          </w:p>
        </w:tc>
        <w:tc>
          <w:tcPr>
            <w:tcW w:w="171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299" w:type="dxa"/>
            <w:vMerge w:val="continue"/>
            <w:tcBorders/>
            <w:tcMar>
              <w:top w:w="0" w:type="dxa"/>
              <w:left w:w="0" w:type="dxa"/>
              <w:bottom w:w="0" w:type="dxa"/>
              <w:right w:w="0" w:type="dxa"/>
            </w:tcMar>
            <w:vAlign w:val="center"/>
          </w:tcPr>
          <w:p>
            <w:pPr>
              <w:pStyle w:val="Normal"/>
              <w:bidi w:val="0"/>
              <w:jc w:val="left"/>
              <w:rPr/>
            </w:pPr>
            <w:r>
              <w:rPr/>
            </w:r>
          </w:p>
        </w:tc>
      </w:tr>
      <w:tr>
        <w:trPr/>
        <w:tc>
          <w:tcPr>
            <w:tcW w:w="3760" w:type="dxa"/>
            <w:gridSpan w:val="2"/>
            <w:tcBorders/>
            <w:tcMar>
              <w:top w:w="0" w:type="dxa"/>
              <w:left w:w="0" w:type="dxa"/>
              <w:bottom w:w="0" w:type="dxa"/>
              <w:right w:w="0" w:type="dxa"/>
            </w:tcMar>
            <w:vAlign w:val="center"/>
          </w:tcPr>
          <w:p>
            <w:pPr>
              <w:pStyle w:val="TableContents"/>
              <w:bidi w:val="0"/>
              <w:spacing w:before="120" w:after="120"/>
              <w:jc w:val="left"/>
              <w:rPr>
                <w:rFonts w:ascii="Outfit;sans-serif" w:hAnsi="Outfit;sans-serif"/>
                <w:b/>
                <w:color w:val="3465B0"/>
                <w:sz w:val="20"/>
              </w:rPr>
            </w:pPr>
            <w:r>
              <w:rPr>
                <w:rFonts w:ascii="Outfit;sans-serif" w:hAnsi="Outfit;sans-serif"/>
                <w:b/>
                <w:color w:val="3465B0"/>
                <w:sz w:val="20"/>
              </w:rPr>
              <w:t>Education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Master of Business Administration degree from the Tuck School of Business at Dartmouth College</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Bachelor of Arts degree from Duke University</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299"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Class II Directors (Term Expiring 2028)</w:t>
      </w:r>
    </w:p>
    <w:tbl>
      <w:tblPr>
        <w:tblW w:w="10205" w:type="dxa"/>
        <w:jc w:val="left"/>
        <w:tblInd w:w="0" w:type="dxa"/>
        <w:tblLayout w:type="fixed"/>
        <w:tblCellMar>
          <w:top w:w="28" w:type="dxa"/>
          <w:left w:w="28" w:type="dxa"/>
          <w:bottom w:w="28" w:type="dxa"/>
          <w:right w:w="28" w:type="dxa"/>
        </w:tblCellMar>
      </w:tblPr>
      <w:tblGrid>
        <w:gridCol w:w="1644"/>
        <w:gridCol w:w="1770"/>
        <w:gridCol w:w="146"/>
        <w:gridCol w:w="6645"/>
      </w:tblGrid>
      <w:tr>
        <w:trPr/>
        <w:tc>
          <w:tcPr>
            <w:tcW w:w="164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5"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Steven Conine</w:t>
            </w:r>
          </w:p>
        </w:tc>
      </w:tr>
      <w:tr>
        <w:trPr/>
        <w:tc>
          <w:tcPr>
            <w:tcW w:w="1644"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885825" cy="11144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85825" cy="1114425"/>
                          </a:xfrm>
                          <a:prstGeom prst="rect">
                            <a:avLst/>
                          </a:prstGeom>
                        </pic:spPr>
                      </pic:pic>
                    </a:graphicData>
                  </a:graphic>
                </wp:inline>
              </w:drawing>
            </w:r>
          </w:p>
        </w:tc>
        <w:tc>
          <w:tcPr>
            <w:tcW w:w="1770" w:type="dxa"/>
            <w:vMerge w:val="restart"/>
            <w:tcBorders/>
            <w:tcMar>
              <w:top w:w="0" w:type="dxa"/>
              <w:left w:w="0" w:type="dxa"/>
              <w:bottom w:w="0" w:type="dxa"/>
              <w:right w:w="0" w:type="dxa"/>
            </w:tcMar>
            <w:vAlign w:val="center"/>
          </w:tcPr>
          <w:p>
            <w:pPr>
              <w:pStyle w:val="TableContents"/>
              <w:bidi w:val="0"/>
              <w:spacing w:before="0" w:after="60"/>
              <w:jc w:val="both"/>
              <w:rPr>
                <w:rFonts w:ascii="Outfit;sans-serif" w:hAnsi="Outfit;sans-serif"/>
                <w:b/>
                <w:color w:val="3465B0"/>
                <w:sz w:val="20"/>
              </w:rPr>
            </w:pPr>
            <w:r>
              <w:rPr>
                <w:rFonts w:ascii="Outfit;sans-serif" w:hAnsi="Outfit;sans-serif"/>
                <w:b/>
                <w:color w:val="3465B0"/>
                <w:sz w:val="20"/>
              </w:rPr>
              <w:t>Class II Director</w:t>
            </w:r>
          </w:p>
          <w:p>
            <w:pPr>
              <w:pStyle w:val="TableContents"/>
              <w:bidi w:val="0"/>
              <w:jc w:val="both"/>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June 2018</w:t>
            </w:r>
          </w:p>
          <w:p>
            <w:pPr>
              <w:pStyle w:val="TableContents"/>
              <w:bidi w:val="0"/>
              <w:jc w:val="both"/>
              <w:rPr>
                <w:rFonts w:ascii="Outfit;sans-serif" w:hAnsi="Outfit;sans-serif"/>
                <w:b/>
                <w:color w:val="3465B0"/>
                <w:sz w:val="20"/>
              </w:rPr>
            </w:pPr>
            <w:r>
              <w:rPr>
                <w:rFonts w:ascii="Outfit;sans-serif" w:hAnsi="Outfit;sans-serif"/>
                <w:b/>
                <w:color w:val="3465B0"/>
                <w:sz w:val="20"/>
              </w:rPr>
              <w:t>Committee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Compensation</w:t>
            </w:r>
          </w:p>
          <w:p>
            <w:pPr>
              <w:pStyle w:val="TableContents"/>
              <w:bidi w:val="0"/>
              <w:spacing w:before="0" w:after="60"/>
              <w:jc w:val="both"/>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5"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and Co-Chairman of Wayfair Inc., an e-commerce company (since 2002); Chief Technology Officer, Wayfair (2002 to 2015)</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and Chief Technology Officer, Simplify Mobile Corporation, an enterprise software company (2001 to 2002)</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Chief Operating Officer, London office, iXL Enterprises, Inc. (1999 to 2000)</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and Chief Technology Officer, Spinners Incorporated, an IT consulting company (1995 to 1998)</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Times New Roman" w:hAnsi="Times New Roman"/>
                <w:sz w:val="20"/>
              </w:rPr>
            </w:pPr>
            <w:r>
              <w:rPr>
                <w:rFonts w:ascii="Outfit;sans-serif" w:hAnsi="Outfit;sans-serif"/>
                <w:color w:val="000000"/>
                <w:sz w:val="20"/>
              </w:rPr>
              <w:t>We believe Mr. Conine is qualified to serve as a member of the Board because of his extensive experience as a co-founder, director, and executive in technology and internet marketplaces as well as serving as an executive and member of the board of directors at a public company</w:t>
            </w:r>
            <w:r>
              <w:rPr>
                <w:rFonts w:ascii="Outfit;sans-serif" w:hAnsi="Outfit;sans-serif"/>
                <w:color w:val="00002D"/>
                <w:sz w:val="20"/>
              </w:rPr>
              <w:t>.</w:t>
            </w:r>
          </w:p>
        </w:tc>
      </w:tr>
      <w:tr>
        <w:trPr/>
        <w:tc>
          <w:tcPr>
            <w:tcW w:w="1644" w:type="dxa"/>
            <w:vMerge w:val="continue"/>
            <w:tcBorders/>
            <w:tcMar>
              <w:top w:w="0" w:type="dxa"/>
              <w:left w:w="0" w:type="dxa"/>
              <w:bottom w:w="0" w:type="dxa"/>
              <w:right w:w="0" w:type="dxa"/>
            </w:tcMar>
            <w:vAlign w:val="center"/>
          </w:tcPr>
          <w:p>
            <w:pPr>
              <w:pStyle w:val="Normal"/>
              <w:bidi w:val="0"/>
              <w:jc w:val="left"/>
              <w:rPr/>
            </w:pPr>
            <w:r>
              <w:rPr/>
            </w:r>
          </w:p>
        </w:tc>
        <w:tc>
          <w:tcPr>
            <w:tcW w:w="1770"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6645" w:type="dxa"/>
            <w:vMerge w:val="continue"/>
            <w:tcBorders/>
            <w:tcMar>
              <w:top w:w="0" w:type="dxa"/>
              <w:left w:w="0" w:type="dxa"/>
              <w:bottom w:w="0" w:type="dxa"/>
              <w:right w:w="0" w:type="dxa"/>
            </w:tcMar>
            <w:vAlign w:val="center"/>
          </w:tcPr>
          <w:p>
            <w:pPr>
              <w:pStyle w:val="Normal"/>
              <w:bidi w:val="0"/>
              <w:jc w:val="left"/>
              <w:rPr/>
            </w:pPr>
            <w:r>
              <w:rPr/>
            </w:r>
          </w:p>
        </w:tc>
      </w:tr>
      <w:tr>
        <w:trPr/>
        <w:tc>
          <w:tcPr>
            <w:tcW w:w="3414" w:type="dxa"/>
            <w:gridSpan w:val="2"/>
            <w:tcBorders/>
            <w:tcMar>
              <w:top w:w="0" w:type="dxa"/>
              <w:left w:w="0" w:type="dxa"/>
              <w:bottom w:w="0" w:type="dxa"/>
              <w:right w:w="0" w:type="dxa"/>
            </w:tcMar>
            <w:vAlign w:val="center"/>
          </w:tcPr>
          <w:p>
            <w:pPr>
              <w:pStyle w:val="TableContents"/>
              <w:bidi w:val="0"/>
              <w:spacing w:before="120" w:after="120"/>
              <w:jc w:val="both"/>
              <w:rPr>
                <w:rFonts w:ascii="Outfit;sans-serif" w:hAnsi="Outfit;sans-serif"/>
                <w:b/>
                <w:color w:val="3465B0"/>
                <w:sz w:val="20"/>
              </w:rPr>
            </w:pPr>
            <w:r>
              <w:rPr>
                <w:rFonts w:ascii="Outfit;sans-serif" w:hAnsi="Outfit;sans-serif"/>
                <w:b/>
                <w:color w:val="3465B0"/>
                <w:sz w:val="20"/>
              </w:rPr>
              <w:t>Other Public Company Boards</w:t>
            </w:r>
          </w:p>
          <w:p>
            <w:pPr>
              <w:pStyle w:val="TableContents"/>
              <w:bidi w:val="0"/>
              <w:spacing w:before="0" w:after="0"/>
              <w:jc w:val="both"/>
              <w:rPr>
                <w:color w:val="000000"/>
              </w:rPr>
            </w:pPr>
            <w:r>
              <w:rPr>
                <w:color w:val="000000"/>
              </w:rPr>
              <w:t>•</w:t>
            </w:r>
          </w:p>
          <w:p>
            <w:pPr>
              <w:pStyle w:val="TableContents"/>
              <w:bidi w:val="0"/>
              <w:spacing w:before="0" w:after="0"/>
              <w:jc w:val="both"/>
              <w:rPr>
                <w:rFonts w:ascii="Outfit;sans-serif" w:hAnsi="Outfit;sans-serif"/>
                <w:color w:val="000000"/>
                <w:sz w:val="20"/>
              </w:rPr>
            </w:pPr>
            <w:r>
              <w:rPr>
                <w:rFonts w:ascii="Outfit;sans-serif" w:hAnsi="Outfit;sans-serif"/>
                <w:color w:val="000000"/>
                <w:sz w:val="20"/>
              </w:rPr>
              <w:t>Wayfair Inc.</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45" w:type="dxa"/>
            <w:vMerge w:val="continue"/>
            <w:tcBorders/>
            <w:tcMar>
              <w:top w:w="0" w:type="dxa"/>
              <w:left w:w="0" w:type="dxa"/>
              <w:bottom w:w="0" w:type="dxa"/>
              <w:right w:w="0" w:type="dxa"/>
            </w:tcMar>
            <w:vAlign w:val="center"/>
          </w:tcPr>
          <w:p>
            <w:pPr>
              <w:pStyle w:val="Normal"/>
              <w:bidi w:val="0"/>
              <w:jc w:val="left"/>
              <w:rPr/>
            </w:pPr>
            <w:r>
              <w:rPr/>
            </w:r>
          </w:p>
        </w:tc>
      </w:tr>
      <w:tr>
        <w:trPr/>
        <w:tc>
          <w:tcPr>
            <w:tcW w:w="3414" w:type="dxa"/>
            <w:gridSpan w:val="2"/>
            <w:tcBorders/>
            <w:tcMar>
              <w:top w:w="0" w:type="dxa"/>
              <w:left w:w="0" w:type="dxa"/>
              <w:bottom w:w="0" w:type="dxa"/>
              <w:right w:w="0" w:type="dxa"/>
            </w:tcMar>
            <w:vAlign w:val="center"/>
          </w:tcPr>
          <w:p>
            <w:pPr>
              <w:pStyle w:val="TableContents"/>
              <w:bidi w:val="0"/>
              <w:spacing w:before="120" w:after="120"/>
              <w:jc w:val="left"/>
              <w:rPr>
                <w:rFonts w:ascii="Outfit;sans-serif" w:hAnsi="Outfit;sans-serif"/>
                <w:b/>
                <w:color w:val="3465B0"/>
                <w:sz w:val="20"/>
              </w:rPr>
            </w:pPr>
            <w:r>
              <w:rPr>
                <w:rFonts w:ascii="Outfit;sans-serif" w:hAnsi="Outfit;sans-serif"/>
                <w:b/>
                <w:color w:val="3465B0"/>
                <w:sz w:val="20"/>
              </w:rPr>
              <w:t>Education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Bachelor of Science degree from Cornell University</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645"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44"/>
        <w:gridCol w:w="2172"/>
        <w:gridCol w:w="146"/>
        <w:gridCol w:w="5943"/>
      </w:tblGrid>
      <w:tr>
        <w:trPr/>
        <w:tc>
          <w:tcPr>
            <w:tcW w:w="194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shd w:fill="E4F5FE"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Stephen Kaufer</w:t>
            </w:r>
          </w:p>
        </w:tc>
      </w:tr>
      <w:tr>
        <w:trPr/>
        <w:tc>
          <w:tcPr>
            <w:tcW w:w="1944"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23925" cy="11525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23925" cy="1152525"/>
                          </a:xfrm>
                          <a:prstGeom prst="rect">
                            <a:avLst/>
                          </a:prstGeom>
                        </pic:spPr>
                      </pic:pic>
                    </a:graphicData>
                  </a:graphic>
                </wp:inline>
              </w:drawing>
            </w:r>
          </w:p>
        </w:tc>
        <w:tc>
          <w:tcPr>
            <w:tcW w:w="2172" w:type="dxa"/>
            <w:vMerge w:val="restart"/>
            <w:tcBorders/>
            <w:tcMar>
              <w:top w:w="0" w:type="dxa"/>
              <w:left w:w="0" w:type="dxa"/>
              <w:bottom w:w="0" w:type="dxa"/>
              <w:right w:w="0" w:type="dxa"/>
            </w:tcMar>
            <w:vAlign w:val="center"/>
          </w:tcPr>
          <w:p>
            <w:pPr>
              <w:pStyle w:val="TableContents"/>
              <w:bidi w:val="0"/>
              <w:spacing w:before="0" w:after="60"/>
              <w:jc w:val="both"/>
              <w:rPr>
                <w:rFonts w:ascii="Outfit;sans-serif" w:hAnsi="Outfit;sans-serif"/>
                <w:b/>
                <w:color w:val="3465B0"/>
                <w:sz w:val="20"/>
              </w:rPr>
            </w:pPr>
            <w:r>
              <w:rPr>
                <w:rFonts w:ascii="Outfit;sans-serif" w:hAnsi="Outfit;sans-serif"/>
                <w:b/>
                <w:color w:val="3465B0"/>
                <w:sz w:val="20"/>
              </w:rPr>
              <w:t>Class II Director</w:t>
            </w:r>
          </w:p>
          <w:p>
            <w:pPr>
              <w:pStyle w:val="TableContents"/>
              <w:bidi w:val="0"/>
              <w:jc w:val="both"/>
              <w:rPr>
                <w:rFonts w:ascii="Outfit;sans-serif" w:hAnsi="Outfit;sans-serif"/>
                <w:b/>
                <w:color w:val="3465B0"/>
                <w:sz w:val="20"/>
              </w:rPr>
            </w:pPr>
            <w:r>
              <w:rPr>
                <w:rFonts w:ascii="Outfit;sans-serif" w:hAnsi="Outfit;sans-serif"/>
                <w:b/>
                <w:color w:val="3465B0"/>
                <w:sz w:val="20"/>
              </w:rPr>
              <w:t>Director Since</w:t>
            </w:r>
          </w:p>
          <w:p>
            <w:pPr>
              <w:pStyle w:val="TableContents"/>
              <w:bidi w:val="0"/>
              <w:spacing w:before="0" w:after="60"/>
              <w:jc w:val="both"/>
              <w:rPr>
                <w:rFonts w:ascii="Outfit;sans-serif" w:hAnsi="Outfit;sans-serif"/>
                <w:color w:val="000000"/>
                <w:sz w:val="20"/>
              </w:rPr>
            </w:pPr>
            <w:r>
              <w:rPr>
                <w:rFonts w:ascii="Outfit;sans-serif" w:hAnsi="Outfit;sans-serif"/>
                <w:color w:val="000000"/>
                <w:sz w:val="20"/>
              </w:rPr>
              <w:t>June 2007</w:t>
            </w:r>
          </w:p>
          <w:p>
            <w:pPr>
              <w:pStyle w:val="TableContents"/>
              <w:bidi w:val="0"/>
              <w:jc w:val="both"/>
              <w:rPr>
                <w:rFonts w:ascii="Outfit;sans-serif" w:hAnsi="Outfit;sans-serif"/>
                <w:b/>
                <w:color w:val="3465B0"/>
                <w:sz w:val="20"/>
              </w:rPr>
            </w:pPr>
            <w:r>
              <w:rPr>
                <w:rFonts w:ascii="Outfit;sans-serif" w:hAnsi="Outfit;sans-serif"/>
                <w:b/>
                <w:color w:val="3465B0"/>
                <w:sz w:val="20"/>
              </w:rPr>
              <w:t>Committee</w:t>
            </w:r>
          </w:p>
          <w:p>
            <w:pPr>
              <w:pStyle w:val="TableContents"/>
              <w:bidi w:val="0"/>
              <w:spacing w:before="0" w:after="60"/>
              <w:jc w:val="left"/>
              <w:rPr>
                <w:rFonts w:ascii="Outfit;sans-serif" w:hAnsi="Outfit;sans-serif"/>
                <w:color w:val="000000"/>
                <w:sz w:val="20"/>
              </w:rPr>
            </w:pPr>
            <w:r>
              <w:rPr>
                <w:rFonts w:ascii="Outfit;sans-serif" w:hAnsi="Outfit;sans-serif"/>
                <w:color w:val="000000"/>
                <w:sz w:val="20"/>
              </w:rPr>
              <w:t>Compensation – Chair</w:t>
            </w:r>
          </w:p>
          <w:p>
            <w:pPr>
              <w:pStyle w:val="TableContents"/>
              <w:bidi w:val="0"/>
              <w:spacing w:before="0" w:after="60"/>
              <w:jc w:val="both"/>
              <w:rPr>
                <w:rFonts w:ascii="Times New Roman" w:hAnsi="Times New Roman"/>
                <w:sz w:val="20"/>
              </w:rPr>
            </w:pPr>
            <w:r>
              <w:rPr>
                <w:rFonts w:ascii="Outfit;sans-serif" w:hAnsi="Outfit;sans-serif"/>
                <w:b/>
                <w:color w:val="3465B0"/>
                <w:sz w:val="20"/>
              </w:rPr>
              <w:t xml:space="preserve">Age </w:t>
            </w:r>
            <w:r>
              <w:rPr>
                <w:rFonts w:ascii="Outfit;sans-serif" w:hAnsi="Outfit;sans-serif"/>
                <w:color w:val="000000"/>
                <w:sz w:val="20"/>
              </w:rPr>
              <w:t>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vMerge w:val="restart"/>
            <w:tcBorders/>
            <w:tcMar>
              <w:top w:w="0" w:type="dxa"/>
              <w:left w:w="0" w:type="dxa"/>
              <w:bottom w:w="0" w:type="dxa"/>
              <w:right w:w="0" w:type="dxa"/>
            </w:tcMar>
            <w:vAlign w:val="center"/>
          </w:tcPr>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Business Experience</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and Chief Executive Officer, Give Freely, LLC, a mission-driven company that helps users save money when shopping online while also generating donations to the users’ favorite charity (since October 2023)</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President, and Chief Executive Officer, TripAdvisor, Inc., an online marketplace for travel-related content (February 2000 to July 2022); Director, TripAdvisor since the completion of its spin-off from Expedia, Inc. (December 2011 to July 2022)</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President, CDS, Inc., an independent software vendor specializing in programming and testing tools</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0"/>
              </w:rPr>
            </w:pPr>
            <w:r>
              <w:rPr>
                <w:rFonts w:ascii="Outfit;sans-serif" w:hAnsi="Outfit;sans-serif"/>
                <w:color w:val="000000"/>
                <w:sz w:val="20"/>
              </w:rPr>
              <w:t>Co-founder and Vice President of Engineering, CenterLine Software (1985 to 1998)</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Qualifications</w:t>
            </w:r>
          </w:p>
          <w:p>
            <w:pPr>
              <w:pStyle w:val="TableContents"/>
              <w:bidi w:val="0"/>
              <w:spacing w:before="0" w:after="120"/>
              <w:jc w:val="both"/>
              <w:rPr>
                <w:rFonts w:ascii="Times New Roman" w:hAnsi="Times New Roman"/>
                <w:sz w:val="20"/>
              </w:rPr>
            </w:pPr>
            <w:r>
              <w:rPr>
                <w:rFonts w:ascii="Outfit;sans-serif" w:hAnsi="Outfit;sans-serif"/>
                <w:color w:val="000000"/>
                <w:sz w:val="20"/>
              </w:rPr>
              <w:t>We believe Mr. Kaufer is qualified to serve as a member of the Board because of his extensive experience as an executive in the online marketplace industry. Mr. Kaufer also possesses strategic and governance skills gained through his service as an executive and member of the board of directors of a public company and with several private companies</w:t>
            </w:r>
            <w:r>
              <w:rPr>
                <w:rFonts w:ascii="Outfit;sans-serif" w:hAnsi="Outfit;sans-serif"/>
                <w:color w:val="00002D"/>
                <w:sz w:val="20"/>
              </w:rPr>
              <w:t>.</w:t>
            </w:r>
          </w:p>
        </w:tc>
      </w:tr>
      <w:tr>
        <w:trPr/>
        <w:tc>
          <w:tcPr>
            <w:tcW w:w="1944" w:type="dxa"/>
            <w:vMerge w:val="continue"/>
            <w:tcBorders/>
            <w:tcMar>
              <w:top w:w="0" w:type="dxa"/>
              <w:left w:w="0" w:type="dxa"/>
              <w:bottom w:w="0" w:type="dxa"/>
              <w:right w:w="0" w:type="dxa"/>
            </w:tcMar>
            <w:vAlign w:val="center"/>
          </w:tcPr>
          <w:p>
            <w:pPr>
              <w:pStyle w:val="Normal"/>
              <w:bidi w:val="0"/>
              <w:jc w:val="left"/>
              <w:rPr/>
            </w:pPr>
            <w:r>
              <w:rPr/>
            </w:r>
          </w:p>
        </w:tc>
        <w:tc>
          <w:tcPr>
            <w:tcW w:w="2172"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943" w:type="dxa"/>
            <w:vMerge w:val="continue"/>
            <w:tcBorders/>
            <w:tcMar>
              <w:top w:w="0" w:type="dxa"/>
              <w:left w:w="0" w:type="dxa"/>
              <w:bottom w:w="0" w:type="dxa"/>
              <w:right w:w="0" w:type="dxa"/>
            </w:tcMar>
            <w:vAlign w:val="center"/>
          </w:tcPr>
          <w:p>
            <w:pPr>
              <w:pStyle w:val="Normal"/>
              <w:bidi w:val="0"/>
              <w:jc w:val="left"/>
              <w:rPr/>
            </w:pPr>
            <w:r>
              <w:rPr/>
            </w:r>
          </w:p>
        </w:tc>
      </w:tr>
      <w:tr>
        <w:trPr/>
        <w:tc>
          <w:tcPr>
            <w:tcW w:w="4116" w:type="dxa"/>
            <w:gridSpan w:val="2"/>
            <w:tcBorders/>
            <w:tcMar>
              <w:top w:w="0" w:type="dxa"/>
              <w:left w:w="0" w:type="dxa"/>
              <w:bottom w:w="0" w:type="dxa"/>
              <w:right w:w="0" w:type="dxa"/>
            </w:tcMar>
            <w:vAlign w:val="center"/>
          </w:tcPr>
          <w:p>
            <w:pPr>
              <w:pStyle w:val="TableContents"/>
              <w:bidi w:val="0"/>
              <w:spacing w:before="120" w:after="120"/>
              <w:jc w:val="both"/>
              <w:rPr>
                <w:rFonts w:ascii="Outfit;sans-serif" w:hAnsi="Outfit;sans-serif"/>
                <w:b/>
                <w:color w:val="3465B0"/>
                <w:sz w:val="20"/>
              </w:rPr>
            </w:pPr>
            <w:r>
              <w:rPr>
                <w:rFonts w:ascii="Outfit;sans-serif" w:hAnsi="Outfit;sans-serif"/>
                <w:b/>
                <w:color w:val="3465B0"/>
                <w:sz w:val="20"/>
              </w:rPr>
              <w:t>Former Public Company Boards</w:t>
            </w:r>
          </w:p>
          <w:p>
            <w:pPr>
              <w:pStyle w:val="TableContents"/>
              <w:bidi w:val="0"/>
              <w:spacing w:before="0" w:after="0"/>
              <w:jc w:val="both"/>
              <w:rPr>
                <w:color w:val="000000"/>
              </w:rPr>
            </w:pPr>
            <w:r>
              <w:rPr>
                <w:color w:val="000000"/>
              </w:rPr>
              <w:t>•</w:t>
            </w:r>
          </w:p>
          <w:p>
            <w:pPr>
              <w:pStyle w:val="TableContents"/>
              <w:bidi w:val="0"/>
              <w:jc w:val="both"/>
              <w:rPr>
                <w:rFonts w:ascii="Outfit;sans-serif" w:hAnsi="Outfit;sans-serif"/>
                <w:color w:val="000000"/>
                <w:sz w:val="20"/>
              </w:rPr>
            </w:pPr>
            <w:r>
              <w:rPr>
                <w:rFonts w:ascii="Outfit;sans-serif" w:hAnsi="Outfit;sans-serif"/>
                <w:color w:val="000000"/>
                <w:sz w:val="20"/>
              </w:rPr>
              <w:t>TripAdvisor, Inc.</w:t>
            </w:r>
          </w:p>
          <w:p>
            <w:pPr>
              <w:pStyle w:val="TableContents"/>
              <w:bidi w:val="0"/>
              <w:spacing w:before="0" w:after="120"/>
              <w:jc w:val="both"/>
              <w:rPr>
                <w:rFonts w:ascii="Outfit;sans-serif" w:hAnsi="Outfit;sans-serif"/>
                <w:b/>
                <w:color w:val="3465B0"/>
                <w:sz w:val="20"/>
              </w:rPr>
            </w:pPr>
            <w:r>
              <w:rPr>
                <w:rFonts w:ascii="Outfit;sans-serif" w:hAnsi="Outfit;sans-serif"/>
                <w:b/>
                <w:color w:val="3465B0"/>
                <w:sz w:val="20"/>
              </w:rPr>
              <w:t>Other Private Company Boards</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DirectBooker</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Neuroendocrine Tumor Research Foundation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TripAdvisor Charitable Foundation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Previously served on the boards of several privately held companies, including LiveData, Inc. and GlassDoor, Inc.</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943" w:type="dxa"/>
            <w:vMerge w:val="continue"/>
            <w:tcBorders/>
            <w:tcMar>
              <w:top w:w="0" w:type="dxa"/>
              <w:left w:w="0" w:type="dxa"/>
              <w:bottom w:w="0" w:type="dxa"/>
              <w:right w:w="0" w:type="dxa"/>
            </w:tcMar>
            <w:vAlign w:val="center"/>
          </w:tcPr>
          <w:p>
            <w:pPr>
              <w:pStyle w:val="Normal"/>
              <w:bidi w:val="0"/>
              <w:jc w:val="left"/>
              <w:rPr/>
            </w:pPr>
            <w:r>
              <w:rPr/>
            </w:r>
          </w:p>
        </w:tc>
      </w:tr>
      <w:tr>
        <w:trPr/>
        <w:tc>
          <w:tcPr>
            <w:tcW w:w="4116" w:type="dxa"/>
            <w:gridSpan w:val="2"/>
            <w:tcBorders/>
            <w:tcMar>
              <w:top w:w="0" w:type="dxa"/>
              <w:left w:w="0" w:type="dxa"/>
              <w:bottom w:w="0" w:type="dxa"/>
              <w:right w:w="0" w:type="dxa"/>
            </w:tcMar>
            <w:vAlign w:val="center"/>
          </w:tcPr>
          <w:p>
            <w:pPr>
              <w:pStyle w:val="TableContents"/>
              <w:bidi w:val="0"/>
              <w:spacing w:before="120" w:after="120"/>
              <w:jc w:val="left"/>
              <w:rPr>
                <w:rFonts w:ascii="Outfit;sans-serif" w:hAnsi="Outfit;sans-serif"/>
                <w:b/>
                <w:color w:val="3465B0"/>
                <w:sz w:val="20"/>
              </w:rPr>
            </w:pPr>
            <w:r>
              <w:rPr>
                <w:rFonts w:ascii="Outfit;sans-serif" w:hAnsi="Outfit;sans-serif"/>
                <w:b/>
                <w:color w:val="3465B0"/>
                <w:sz w:val="20"/>
              </w:rPr>
              <w:t>Education</w:t>
            </w:r>
          </w:p>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0"/>
              </w:rPr>
            </w:pPr>
            <w:r>
              <w:rPr>
                <w:rFonts w:ascii="Outfit;sans-serif" w:hAnsi="Outfit;sans-serif"/>
                <w:color w:val="000000"/>
                <w:sz w:val="20"/>
              </w:rPr>
              <w:t>Bachelor of Arts degree from Harvard University</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943"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120" w:after="120"/>
        <w:jc w:val="both"/>
        <w:rPr>
          <w:rFonts w:ascii="Outfit;sans-serif" w:hAnsi="Outfit;sans-serif"/>
          <w:b/>
          <w:color w:val="00002D"/>
          <w:sz w:val="32"/>
        </w:rPr>
      </w:pPr>
      <w:bookmarkStart w:id="10" w:name="board_and_committee_meetings"/>
      <w:bookmarkEnd w:id="10"/>
      <w:r>
        <w:rPr>
          <w:rFonts w:ascii="Outfit;sans-serif" w:hAnsi="Outfit;sans-serif"/>
          <w:b/>
          <w:color w:val="00002D"/>
          <w:sz w:val="32"/>
        </w:rPr>
        <w:t>Board and Committee Meetings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met six times during 2025. The Board has two standing committees. The principal functions of each committee, the committee composition in 2025, and the number of committee meetings held in 2025 are described in the tables below. The Chair of each committee periodically reports to the Board on committee deliberations and decisions.</w:t>
      </w:r>
    </w:p>
    <w:tbl>
      <w:tblPr>
        <w:tblW w:w="10205" w:type="dxa"/>
        <w:jc w:val="left"/>
        <w:tblInd w:w="0" w:type="dxa"/>
        <w:tblLayout w:type="fixed"/>
        <w:tblCellMar>
          <w:top w:w="28" w:type="dxa"/>
          <w:left w:w="28" w:type="dxa"/>
          <w:bottom w:w="28" w:type="dxa"/>
          <w:right w:w="28" w:type="dxa"/>
        </w:tblCellMar>
      </w:tblPr>
      <w:tblGrid>
        <w:gridCol w:w="1686"/>
        <w:gridCol w:w="8519"/>
      </w:tblGrid>
      <w:tr>
        <w:trPr/>
        <w:tc>
          <w:tcPr>
            <w:tcW w:w="1686" w:type="dxa"/>
            <w:tcBorders/>
            <w:vAlign w:val="center"/>
          </w:tcPr>
          <w:p>
            <w:pPr>
              <w:pStyle w:val="TableContents"/>
              <w:bidi w:val="0"/>
              <w:spacing w:before="0" w:after="283"/>
              <w:jc w:val="left"/>
              <w:rPr>
                <w:sz w:val="4"/>
                <w:szCs w:val="4"/>
              </w:rPr>
            </w:pPr>
            <w:r>
              <w:rPr>
                <w:sz w:val="4"/>
                <w:szCs w:val="4"/>
              </w:rPr>
            </w:r>
          </w:p>
        </w:tc>
        <w:tc>
          <w:tcPr>
            <w:tcW w:w="8519"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E4F6FF"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Audit Committee</w:t>
            </w:r>
          </w:p>
        </w:tc>
      </w:tr>
      <w:tr>
        <w:trPr/>
        <w:tc>
          <w:tcPr>
            <w:tcW w:w="1686" w:type="dxa"/>
            <w:tcBorders>
              <w:right w:val="single" w:sz="12" w:space="0" w:color="D9E1EB"/>
            </w:tcBorders>
            <w:tcMar>
              <w:top w:w="0" w:type="dxa"/>
              <w:left w:w="0" w:type="dxa"/>
              <w:bottom w:w="0" w:type="dxa"/>
              <w:right w:w="108" w:type="dxa"/>
            </w:tcMar>
            <w:vAlign w:val="center"/>
          </w:tcPr>
          <w:p>
            <w:pPr>
              <w:pStyle w:val="TableContents"/>
              <w:bidi w:val="0"/>
              <w:spacing w:before="120" w:after="283"/>
              <w:jc w:val="both"/>
              <w:rPr>
                <w:rFonts w:ascii="Outfit;sans-serif" w:hAnsi="Outfit;sans-serif"/>
                <w:b/>
                <w:color w:val="3465B0"/>
                <w:sz w:val="22"/>
              </w:rPr>
            </w:pPr>
            <w:r>
              <w:rPr>
                <w:rFonts w:ascii="Outfit;sans-serif" w:hAnsi="Outfit;sans-serif"/>
                <w:b/>
                <w:color w:val="3465B0"/>
                <w:sz w:val="22"/>
              </w:rPr>
              <w:t>Members:</w:t>
            </w:r>
          </w:p>
          <w:p>
            <w:pPr>
              <w:pStyle w:val="TableContents"/>
              <w:bidi w:val="0"/>
              <w:jc w:val="left"/>
              <w:rPr>
                <w:rFonts w:ascii="Outfit;sans-serif" w:hAnsi="Outfit;sans-serif"/>
                <w:color w:val="000000"/>
                <w:sz w:val="22"/>
              </w:rPr>
            </w:pPr>
            <w:r>
              <w:rPr>
                <w:rFonts w:ascii="Outfit;sans-serif" w:hAnsi="Outfit;sans-serif"/>
                <w:color w:val="000000"/>
                <w:sz w:val="22"/>
              </w:rPr>
              <w:t>Lori Hickok (Chair)</w:t>
            </w:r>
          </w:p>
          <w:p>
            <w:pPr>
              <w:pStyle w:val="TableContents"/>
              <w:bidi w:val="0"/>
              <w:jc w:val="left"/>
              <w:rPr>
                <w:rFonts w:ascii="Outfit;sans-serif" w:hAnsi="Outfit;sans-serif"/>
                <w:color w:val="000000"/>
                <w:sz w:val="22"/>
              </w:rPr>
            </w:pPr>
            <w:r>
              <w:rPr>
                <w:rFonts w:ascii="Outfit;sans-serif" w:hAnsi="Outfit;sans-serif"/>
                <w:color w:val="000000"/>
                <w:sz w:val="22"/>
              </w:rPr>
              <w:t>Manik Gupta</w:t>
            </w:r>
          </w:p>
          <w:p>
            <w:pPr>
              <w:pStyle w:val="TableContents"/>
              <w:bidi w:val="0"/>
              <w:jc w:val="left"/>
              <w:rPr>
                <w:rFonts w:ascii="Outfit;sans-serif" w:hAnsi="Outfit;sans-serif"/>
                <w:color w:val="000000"/>
                <w:sz w:val="22"/>
              </w:rPr>
            </w:pPr>
            <w:r>
              <w:rPr>
                <w:rFonts w:ascii="Outfit;sans-serif" w:hAnsi="Outfit;sans-serif"/>
                <w:color w:val="000000"/>
                <w:sz w:val="22"/>
              </w:rPr>
              <w:t>Greg Schwartz</w:t>
            </w:r>
          </w:p>
          <w:p>
            <w:pPr>
              <w:pStyle w:val="TableContents"/>
              <w:bidi w:val="0"/>
              <w:jc w:val="left"/>
              <w:rPr/>
            </w:pPr>
            <w:r>
              <w:rPr/>
              <w:t> </w:t>
            </w:r>
          </w:p>
          <w:p>
            <w:pPr>
              <w:pStyle w:val="TableContents"/>
              <w:bidi w:val="0"/>
              <w:spacing w:before="0" w:after="283"/>
              <w:jc w:val="left"/>
              <w:rPr>
                <w:rFonts w:ascii="Times New Roman" w:hAnsi="Times New Roman"/>
                <w:sz w:val="22"/>
              </w:rPr>
            </w:pPr>
            <w:r>
              <w:rPr>
                <w:rFonts w:ascii="Outfit;sans-serif" w:hAnsi="Outfit;sans-serif"/>
                <w:b/>
                <w:color w:val="3465B0"/>
                <w:sz w:val="22"/>
              </w:rPr>
              <w:t>Meetings in 2025:</w:t>
            </w:r>
            <w:r>
              <w:rPr>
                <w:rFonts w:ascii="Times New Roman" w:hAnsi="Times New Roman"/>
                <w:color w:val="000000"/>
                <w:sz w:val="22"/>
              </w:rPr>
              <w:t> </w:t>
            </w:r>
            <w:r>
              <w:rPr>
                <w:rFonts w:ascii="Outfit;sans-serif" w:hAnsi="Outfit;sans-serif"/>
                <w:color w:val="000000"/>
                <w:sz w:val="22"/>
              </w:rPr>
              <w:t>Six</w:t>
            </w:r>
          </w:p>
        </w:tc>
        <w:tc>
          <w:tcPr>
            <w:tcW w:w="8519" w:type="dxa"/>
            <w:tcBorders/>
            <w:tcMar>
              <w:top w:w="0" w:type="dxa"/>
              <w:left w:w="0" w:type="dxa"/>
              <w:bottom w:w="0" w:type="dxa"/>
              <w:right w:w="0" w:type="dxa"/>
            </w:tcMar>
            <w:vAlign w:val="center"/>
          </w:tcPr>
          <w:p>
            <w:pPr>
              <w:pStyle w:val="TableContents"/>
              <w:bidi w:val="0"/>
              <w:spacing w:before="120" w:after="120"/>
              <w:jc w:val="both"/>
              <w:rPr>
                <w:rFonts w:ascii="Outfit;sans-serif" w:hAnsi="Outfit;sans-serif"/>
                <w:b/>
                <w:color w:val="3465B0"/>
                <w:sz w:val="22"/>
              </w:rPr>
            </w:pPr>
            <w:r>
              <w:rPr>
                <w:rFonts w:ascii="Outfit;sans-serif" w:hAnsi="Outfit;sans-serif"/>
                <w:b/>
                <w:color w:val="3465B0"/>
                <w:sz w:val="22"/>
              </w:rPr>
              <w:t>Key Roles and Responsibilities</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2"/>
              </w:rPr>
            </w:pPr>
            <w:r>
              <w:rPr>
                <w:rFonts w:ascii="Outfit;sans-serif" w:hAnsi="Outfit;sans-serif"/>
                <w:color w:val="000000"/>
                <w:sz w:val="22"/>
              </w:rPr>
              <w:t>Overseeing the appointment, independence, compensation, and work of the independent auditor</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2"/>
              </w:rPr>
            </w:pPr>
            <w:r>
              <w:rPr>
                <w:rFonts w:ascii="Outfit;sans-serif" w:hAnsi="Outfit;sans-serif"/>
                <w:color w:val="000000"/>
                <w:sz w:val="22"/>
              </w:rPr>
              <w:t>Reviewing our financial statements with management and the independent auditor</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2"/>
              </w:rPr>
            </w:pPr>
            <w:r>
              <w:rPr>
                <w:rFonts w:ascii="Outfit;sans-serif" w:hAnsi="Outfit;sans-serif"/>
                <w:color w:val="000000"/>
                <w:sz w:val="22"/>
              </w:rPr>
              <w:t>Reviewing the adequacy and effectiveness of our internal controls over financial reporting and disclosure controls and procedures</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2"/>
              </w:rPr>
            </w:pPr>
            <w:r>
              <w:rPr>
                <w:rFonts w:ascii="Outfit;sans-serif" w:hAnsi="Outfit;sans-serif"/>
                <w:color w:val="000000"/>
                <w:sz w:val="22"/>
              </w:rPr>
              <w:t>Reviewing our policies on risk assessment and risk management, including with respect to operational, financial, strategic, data privacy, cybersecurity, legal, regulatory, compliance, and reputational risks</w:t>
            </w:r>
          </w:p>
          <w:p>
            <w:pPr>
              <w:pStyle w:val="TableContents"/>
              <w:bidi w:val="0"/>
              <w:spacing w:before="0" w:after="120"/>
              <w:jc w:val="both"/>
              <w:rPr>
                <w:color w:val="000000"/>
              </w:rPr>
            </w:pPr>
            <w:r>
              <w:rPr>
                <w:color w:val="000000"/>
              </w:rPr>
              <w:t>•</w:t>
            </w:r>
          </w:p>
          <w:p>
            <w:pPr>
              <w:pStyle w:val="TableContents"/>
              <w:bidi w:val="0"/>
              <w:spacing w:before="0" w:after="120"/>
              <w:jc w:val="both"/>
              <w:rPr>
                <w:rFonts w:ascii="Outfit;sans-serif" w:hAnsi="Outfit;sans-serif"/>
                <w:color w:val="000000"/>
                <w:sz w:val="22"/>
              </w:rPr>
            </w:pPr>
            <w:r>
              <w:rPr>
                <w:rFonts w:ascii="Outfit;sans-serif" w:hAnsi="Outfit;sans-serif"/>
                <w:color w:val="000000"/>
                <w:sz w:val="22"/>
              </w:rPr>
              <w:t>Reviewing related person transactions</w:t>
            </w:r>
          </w:p>
          <w:p>
            <w:pPr>
              <w:pStyle w:val="TableContents"/>
              <w:bidi w:val="0"/>
              <w:spacing w:before="0" w:after="0"/>
              <w:jc w:val="both"/>
              <w:rPr>
                <w:color w:val="000000"/>
              </w:rPr>
            </w:pPr>
            <w:r>
              <w:rPr>
                <w:color w:val="000000"/>
              </w:rPr>
              <w:t>•</w:t>
            </w:r>
          </w:p>
          <w:p>
            <w:pPr>
              <w:pStyle w:val="TableContents"/>
              <w:bidi w:val="0"/>
              <w:jc w:val="both"/>
              <w:rPr>
                <w:rFonts w:ascii="Outfit;sans-serif" w:hAnsi="Outfit;sans-serif"/>
                <w:color w:val="000000"/>
                <w:sz w:val="22"/>
              </w:rPr>
            </w:pPr>
            <w:r>
              <w:rPr>
                <w:rFonts w:ascii="Outfit;sans-serif" w:hAnsi="Outfit;sans-serif"/>
                <w:color w:val="000000"/>
                <w:sz w:val="22"/>
              </w:rPr>
              <w:t>Overseeing procedures for handling complaints regarding accounting, internal account controls, or auditing matters</w:t>
            </w:r>
          </w:p>
          <w:p>
            <w:pPr>
              <w:pStyle w:val="TableContents"/>
              <w:bidi w:val="0"/>
              <w:spacing w:before="120" w:after="120"/>
              <w:jc w:val="both"/>
              <w:rPr>
                <w:rFonts w:ascii="Outfit;sans-serif" w:hAnsi="Outfit;sans-serif"/>
                <w:b/>
                <w:color w:val="3465B0"/>
                <w:sz w:val="22"/>
              </w:rPr>
            </w:pPr>
            <w:r>
              <w:rPr>
                <w:rFonts w:ascii="Outfit;sans-serif" w:hAnsi="Outfit;sans-serif"/>
                <w:b/>
                <w:color w:val="3465B0"/>
                <w:sz w:val="22"/>
              </w:rPr>
              <w:t>Charter</w:t>
            </w:r>
          </w:p>
          <w:p>
            <w:pPr>
              <w:pStyle w:val="TableContents"/>
              <w:bidi w:val="0"/>
              <w:spacing w:before="0" w:after="120"/>
              <w:jc w:val="both"/>
              <w:rPr>
                <w:rFonts w:ascii="Times New Roman" w:hAnsi="Times New Roman"/>
                <w:sz w:val="22"/>
              </w:rPr>
            </w:pPr>
            <w:r>
              <w:rPr>
                <w:rFonts w:ascii="Outfit;sans-serif" w:hAnsi="Outfit;sans-serif"/>
                <w:color w:val="000000"/>
                <w:sz w:val="22"/>
              </w:rPr>
              <w:t xml:space="preserve">The Audit Committee’s written charter is available on our website at </w:t>
            </w:r>
            <w:r>
              <w:rPr>
                <w:rFonts w:ascii="Outfit;sans-serif" w:hAnsi="Outfit;sans-serif"/>
                <w:i/>
                <w:color w:val="000000"/>
                <w:sz w:val="22"/>
              </w:rPr>
              <w:t>investors.cargurus.com</w:t>
            </w:r>
            <w:r>
              <w:rPr>
                <w:rFonts w:ascii="Times New Roman" w:hAnsi="Times New Roman"/>
                <w:color w:val="000000"/>
                <w:sz w:val="22"/>
              </w:rPr>
              <w:t> </w:t>
            </w:r>
            <w:r>
              <w:rPr>
                <w:rFonts w:ascii="Outfit;sans-serif" w:hAnsi="Outfit;sans-serif"/>
                <w:color w:val="000000"/>
                <w:sz w:val="22"/>
              </w:rPr>
              <w:t>at “Governance” and satisfies the applicable Nasdaq listing standards.</w:t>
            </w:r>
          </w:p>
        </w:tc>
      </w:tr>
    </w:tbl>
    <w:p>
      <w:pPr>
        <w:pStyle w:val="TextBody"/>
        <w:bidi w:val="0"/>
        <w:spacing w:before="0" w:after="120"/>
        <w:jc w:val="left"/>
        <w:rPr/>
      </w:pPr>
      <w:r>
        <w:rPr/>
        <w:t> </w:t>
      </w:r>
    </w:p>
    <w:p>
      <w:pPr>
        <w:pStyle w:val="TextBody"/>
        <w:bidi w:val="0"/>
        <w:spacing w:before="0" w:after="120"/>
        <w:jc w:val="left"/>
        <w:rPr>
          <w:rFonts w:ascii="Outfit;sans-serif" w:hAnsi="Outfit;sans-serif"/>
          <w:color w:val="000000"/>
          <w:sz w:val="20"/>
        </w:rPr>
      </w:pPr>
      <w:r>
        <w:rPr>
          <w:rFonts w:ascii="Outfit;sans-serif" w:hAnsi="Outfit;sans-serif"/>
          <w:color w:val="000000"/>
          <w:sz w:val="20"/>
        </w:rPr>
        <w:t> Determined by the Board to be an audit committee financial expert.</w:t>
      </w:r>
    </w:p>
    <w:p>
      <w:pPr>
        <w:pStyle w:val="TextBody"/>
        <w:bidi w:val="0"/>
        <w:jc w:val="center"/>
        <w:rPr>
          <w:rFonts w:ascii="Outfit;sans-serif" w:hAnsi="Outfit;sans-serif"/>
          <w:color w:val="000000"/>
          <w:sz w:val="22"/>
        </w:rPr>
      </w:pPr>
      <w:r>
        <w:rPr>
          <w:rFonts w:ascii="Outfit;sans-serif" w:hAnsi="Outfit;sans-serif"/>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1"/>
        <w:gridCol w:w="8574"/>
      </w:tblGrid>
      <w:tr>
        <w:trPr/>
        <w:tc>
          <w:tcPr>
            <w:tcW w:w="1631" w:type="dxa"/>
            <w:tcBorders/>
            <w:vAlign w:val="center"/>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E4F6FF"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4"/>
              </w:rPr>
            </w:pPr>
            <w:r>
              <w:rPr>
                <w:rFonts w:ascii="Outfit;sans-serif" w:hAnsi="Outfit;sans-serif"/>
                <w:b/>
                <w:color w:val="3465B0"/>
                <w:sz w:val="24"/>
              </w:rPr>
              <w:t>Compensation Committee</w:t>
            </w:r>
          </w:p>
        </w:tc>
      </w:tr>
      <w:tr>
        <w:trPr/>
        <w:tc>
          <w:tcPr>
            <w:tcW w:w="1631" w:type="dxa"/>
            <w:tcBorders>
              <w:right w:val="single" w:sz="12" w:space="0" w:color="D9E1EB"/>
            </w:tcBorders>
            <w:tcMar>
              <w:top w:w="0" w:type="dxa"/>
              <w:left w:w="0" w:type="dxa"/>
              <w:bottom w:w="0" w:type="dxa"/>
              <w:right w:w="108" w:type="dxa"/>
            </w:tcMar>
            <w:vAlign w:val="center"/>
          </w:tcPr>
          <w:p>
            <w:pPr>
              <w:pStyle w:val="TableContents"/>
              <w:bidi w:val="0"/>
              <w:spacing w:before="120" w:after="283"/>
              <w:jc w:val="both"/>
              <w:rPr>
                <w:rFonts w:ascii="Outfit;sans-serif" w:hAnsi="Outfit;sans-serif"/>
                <w:b/>
                <w:color w:val="3465B0"/>
                <w:sz w:val="22"/>
              </w:rPr>
            </w:pPr>
            <w:r>
              <w:rPr>
                <w:rFonts w:ascii="Outfit;sans-serif" w:hAnsi="Outfit;sans-serif"/>
                <w:b/>
                <w:color w:val="3465B0"/>
                <w:sz w:val="22"/>
              </w:rPr>
              <w:t>Members:</w:t>
            </w:r>
          </w:p>
          <w:p>
            <w:pPr>
              <w:pStyle w:val="TableContents"/>
              <w:bidi w:val="0"/>
              <w:jc w:val="left"/>
              <w:rPr>
                <w:rFonts w:ascii="Outfit;sans-serif" w:hAnsi="Outfit;sans-serif"/>
                <w:color w:val="000000"/>
                <w:sz w:val="22"/>
              </w:rPr>
            </w:pPr>
            <w:r>
              <w:rPr>
                <w:rFonts w:ascii="Outfit;sans-serif" w:hAnsi="Outfit;sans-serif"/>
                <w:color w:val="000000"/>
                <w:sz w:val="22"/>
              </w:rPr>
              <w:t>Stephen Kaufer (Chair)</w:t>
            </w:r>
          </w:p>
          <w:p>
            <w:pPr>
              <w:pStyle w:val="TableContents"/>
              <w:bidi w:val="0"/>
              <w:jc w:val="left"/>
              <w:rPr>
                <w:rFonts w:ascii="Outfit;sans-serif" w:hAnsi="Outfit;sans-serif"/>
                <w:color w:val="000000"/>
                <w:sz w:val="22"/>
              </w:rPr>
            </w:pPr>
            <w:r>
              <w:rPr>
                <w:rFonts w:ascii="Outfit;sans-serif" w:hAnsi="Outfit;sans-serif"/>
                <w:color w:val="000000"/>
                <w:sz w:val="22"/>
              </w:rPr>
              <w:t>Steven Conine</w:t>
            </w:r>
          </w:p>
          <w:p>
            <w:pPr>
              <w:pStyle w:val="TableContents"/>
              <w:bidi w:val="0"/>
              <w:spacing w:before="120" w:after="240"/>
              <w:ind w:left="0" w:right="0" w:firstLine="16"/>
              <w:jc w:val="both"/>
              <w:rPr>
                <w:rFonts w:ascii="Times New Roman" w:hAnsi="Times New Roman"/>
                <w:sz w:val="22"/>
              </w:rPr>
            </w:pPr>
            <w:r>
              <w:rPr>
                <w:rFonts w:ascii="Outfit;sans-serif" w:hAnsi="Outfit;sans-serif"/>
                <w:b/>
                <w:color w:val="3465B0"/>
                <w:sz w:val="22"/>
              </w:rPr>
              <w:t>Meetings in 2025:</w:t>
            </w:r>
            <w:r>
              <w:rPr>
                <w:rFonts w:ascii="Times New Roman" w:hAnsi="Times New Roman"/>
                <w:color w:val="000000"/>
                <w:sz w:val="22"/>
              </w:rPr>
              <w:t> </w:t>
            </w:r>
            <w:r>
              <w:rPr>
                <w:rFonts w:ascii="Outfit;sans-serif" w:hAnsi="Outfit;sans-serif"/>
                <w:color w:val="000000"/>
                <w:sz w:val="22"/>
              </w:rPr>
              <w:t>Four</w:t>
            </w:r>
          </w:p>
        </w:tc>
        <w:tc>
          <w:tcPr>
            <w:tcW w:w="8574" w:type="dxa"/>
            <w:tcBorders/>
            <w:tcMar>
              <w:top w:w="0" w:type="dxa"/>
              <w:left w:w="0" w:type="dxa"/>
              <w:bottom w:w="0" w:type="dxa"/>
              <w:right w:w="0" w:type="dxa"/>
            </w:tcMar>
            <w:vAlign w:val="center"/>
          </w:tcPr>
          <w:p>
            <w:pPr>
              <w:pStyle w:val="TableContents"/>
              <w:bidi w:val="0"/>
              <w:spacing w:before="120" w:after="283"/>
              <w:ind w:left="0" w:right="0" w:firstLine="16"/>
              <w:jc w:val="both"/>
              <w:rPr>
                <w:rFonts w:ascii="Outfit;sans-serif" w:hAnsi="Outfit;sans-serif"/>
                <w:b/>
                <w:color w:val="3465B0"/>
                <w:sz w:val="22"/>
              </w:rPr>
            </w:pPr>
            <w:r>
              <w:rPr>
                <w:rFonts w:ascii="Outfit;sans-serif" w:hAnsi="Outfit;sans-serif"/>
                <w:b/>
                <w:color w:val="3465B0"/>
                <w:sz w:val="22"/>
              </w:rPr>
              <w:t>Key Roles and Responsibilities</w:t>
            </w:r>
          </w:p>
          <w:p>
            <w:pPr>
              <w:pStyle w:val="TableContents"/>
              <w:bidi w:val="0"/>
              <w:spacing w:before="120" w:after="283"/>
              <w:ind w:left="0" w:right="0" w:firstLine="16"/>
              <w:jc w:val="both"/>
              <w:rPr>
                <w:rFonts w:ascii="Outfit;sans-serif" w:hAnsi="Outfit;sans-serif"/>
                <w:color w:val="000000"/>
                <w:sz w:val="22"/>
              </w:rPr>
            </w:pPr>
            <w:r>
              <w:rPr>
                <w:rFonts w:ascii="Outfit;sans-serif" w:hAnsi="Outfit;sans-serif"/>
                <w:color w:val="000000"/>
                <w:sz w:val="22"/>
              </w:rPr>
              <w:t>Except to the extent that the full Board undertakes any responsibility directly, the key responsibilities of the Compensation Committee include:</w:t>
            </w:r>
          </w:p>
          <w:p>
            <w:pPr>
              <w:pStyle w:val="TableContents"/>
              <w:bidi w:val="0"/>
              <w:spacing w:before="120" w:after="283"/>
              <w:ind w:left="0" w:right="0" w:firstLine="16"/>
              <w:jc w:val="both"/>
              <w:rPr>
                <w:color w:val="000000"/>
              </w:rPr>
            </w:pPr>
            <w:r>
              <w:rPr>
                <w:color w:val="000000"/>
              </w:rPr>
              <w:t>•</w:t>
            </w:r>
          </w:p>
          <w:p>
            <w:pPr>
              <w:pStyle w:val="TableContents"/>
              <w:bidi w:val="0"/>
              <w:spacing w:before="120" w:after="283"/>
              <w:jc w:val="both"/>
              <w:rPr>
                <w:rFonts w:ascii="Outfit;sans-serif" w:hAnsi="Outfit;sans-serif"/>
                <w:color w:val="000000"/>
                <w:sz w:val="22"/>
              </w:rPr>
            </w:pPr>
            <w:r>
              <w:rPr>
                <w:rFonts w:ascii="Outfit;sans-serif" w:hAnsi="Outfit;sans-serif"/>
                <w:color w:val="000000"/>
                <w:sz w:val="22"/>
              </w:rPr>
              <w:t>Overseeing our compensation philosophy, policies, and practices</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Outfit;sans-serif" w:hAnsi="Outfit;sans-serif"/>
                <w:color w:val="000000"/>
                <w:sz w:val="22"/>
              </w:rPr>
            </w:pPr>
            <w:r>
              <w:rPr>
                <w:rFonts w:ascii="Outfit;sans-serif" w:hAnsi="Outfit;sans-serif"/>
                <w:color w:val="000000"/>
                <w:sz w:val="22"/>
              </w:rPr>
              <w:t>Reviewing and approving, or making recommendations to the Board regarding, executive compensation</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Outfit;sans-serif" w:hAnsi="Outfit;sans-serif"/>
                <w:color w:val="000000"/>
                <w:sz w:val="22"/>
              </w:rPr>
            </w:pPr>
            <w:r>
              <w:rPr>
                <w:rFonts w:ascii="Outfit;sans-serif" w:hAnsi="Outfit;sans-serif"/>
                <w:color w:val="000000"/>
                <w:sz w:val="22"/>
              </w:rPr>
              <w:t>Reviewing and approving, and recommending to the Board for approval, any material employment, severance, and change-of-control agreements for our Chief Executive Officer and other executive officers as well as any special supplemental benefits</w:t>
            </w:r>
          </w:p>
          <w:p>
            <w:pPr>
              <w:pStyle w:val="TableContents"/>
              <w:bidi w:val="0"/>
              <w:spacing w:before="120" w:after="283"/>
              <w:jc w:val="both"/>
              <w:rPr>
                <w:color w:val="000000"/>
              </w:rPr>
            </w:pPr>
            <w:r>
              <w:rPr>
                <w:color w:val="000000"/>
              </w:rPr>
              <w:t>•</w:t>
            </w:r>
          </w:p>
          <w:p>
            <w:pPr>
              <w:pStyle w:val="TableContents"/>
              <w:bidi w:val="0"/>
              <w:spacing w:before="120" w:after="283"/>
              <w:jc w:val="both"/>
              <w:rPr>
                <w:rFonts w:ascii="Outfit;sans-serif" w:hAnsi="Outfit;sans-serif"/>
                <w:color w:val="000000"/>
                <w:sz w:val="22"/>
              </w:rPr>
            </w:pPr>
            <w:r>
              <w:rPr>
                <w:rFonts w:ascii="Outfit;sans-serif" w:hAnsi="Outfit;sans-serif"/>
                <w:color w:val="000000"/>
                <w:sz w:val="22"/>
              </w:rPr>
              <w:t>Administering our equity compensation plans</w:t>
            </w:r>
          </w:p>
          <w:p>
            <w:pPr>
              <w:pStyle w:val="TableContents"/>
              <w:bidi w:val="0"/>
              <w:spacing w:before="120" w:after="120"/>
              <w:ind w:left="0" w:right="0" w:firstLine="16"/>
              <w:jc w:val="both"/>
              <w:rPr>
                <w:rFonts w:ascii="Outfit;sans-serif" w:hAnsi="Outfit;sans-serif"/>
                <w:b/>
                <w:color w:val="3465B0"/>
                <w:sz w:val="22"/>
              </w:rPr>
            </w:pPr>
            <w:r>
              <w:rPr>
                <w:rFonts w:ascii="Outfit;sans-serif" w:hAnsi="Outfit;sans-serif"/>
                <w:b/>
                <w:color w:val="3465B0"/>
                <w:sz w:val="22"/>
              </w:rPr>
              <w:t>Delegation</w:t>
            </w:r>
          </w:p>
          <w:p>
            <w:pPr>
              <w:pStyle w:val="TableContents"/>
              <w:bidi w:val="0"/>
              <w:spacing w:before="0" w:after="120"/>
              <w:ind w:left="0" w:right="0" w:firstLine="16"/>
              <w:jc w:val="both"/>
              <w:rPr>
                <w:rFonts w:ascii="Outfit;sans-serif" w:hAnsi="Outfit;sans-serif"/>
                <w:color w:val="000000"/>
                <w:sz w:val="22"/>
              </w:rPr>
            </w:pPr>
            <w:r>
              <w:rPr>
                <w:rFonts w:ascii="Outfit;sans-serif" w:hAnsi="Outfit;sans-serif"/>
                <w:color w:val="000000"/>
                <w:sz w:val="22"/>
              </w:rPr>
              <w:t>The Compensation Committee may delegate any of its responsibilities to subcommittees as it deems necessary or appropriate in its sole discretion.</w:t>
            </w:r>
          </w:p>
          <w:p>
            <w:pPr>
              <w:pStyle w:val="TableContents"/>
              <w:bidi w:val="0"/>
              <w:spacing w:before="0" w:after="120"/>
              <w:ind w:left="0" w:right="0" w:firstLine="16"/>
              <w:jc w:val="both"/>
              <w:rPr>
                <w:rFonts w:ascii="Outfit;sans-serif" w:hAnsi="Outfit;sans-serif"/>
                <w:b/>
                <w:color w:val="3465B0"/>
                <w:sz w:val="22"/>
              </w:rPr>
            </w:pPr>
            <w:r>
              <w:rPr>
                <w:rFonts w:ascii="Outfit;sans-serif" w:hAnsi="Outfit;sans-serif"/>
                <w:b/>
                <w:color w:val="3465B0"/>
                <w:sz w:val="22"/>
              </w:rPr>
              <w:t>Independence</w:t>
            </w:r>
          </w:p>
          <w:p>
            <w:pPr>
              <w:pStyle w:val="TableContents"/>
              <w:bidi w:val="0"/>
              <w:spacing w:before="0" w:after="120"/>
              <w:ind w:left="0" w:right="0" w:firstLine="16"/>
              <w:jc w:val="both"/>
              <w:rPr>
                <w:rFonts w:ascii="Outfit;sans-serif" w:hAnsi="Outfit;sans-serif"/>
                <w:color w:val="000000"/>
                <w:sz w:val="22"/>
              </w:rPr>
            </w:pPr>
            <w:r>
              <w:rPr>
                <w:rFonts w:ascii="Outfit;sans-serif" w:hAnsi="Outfit;sans-serif"/>
                <w:color w:val="000000"/>
                <w:sz w:val="22"/>
              </w:rPr>
              <w:t>Because we are a controlled company under Nasdaq rules, the Compensation Committee is not required to be fully independent. If such rules change in the future or we no longer meet the definition of a controlled company under current rules, we will adjust the composition of the Compensation Committee in order to comply with such rules.</w:t>
            </w:r>
          </w:p>
          <w:p>
            <w:pPr>
              <w:pStyle w:val="TableContents"/>
              <w:bidi w:val="0"/>
              <w:spacing w:before="0" w:after="120"/>
              <w:ind w:left="0" w:right="0" w:firstLine="16"/>
              <w:jc w:val="both"/>
              <w:rPr>
                <w:rFonts w:ascii="Outfit;sans-serif" w:hAnsi="Outfit;sans-serif"/>
                <w:b/>
                <w:color w:val="3465B0"/>
                <w:sz w:val="22"/>
              </w:rPr>
            </w:pPr>
            <w:r>
              <w:rPr>
                <w:rFonts w:ascii="Outfit;sans-serif" w:hAnsi="Outfit;sans-serif"/>
                <w:b/>
                <w:color w:val="3465B0"/>
                <w:sz w:val="22"/>
              </w:rPr>
              <w:t>Charter</w:t>
            </w:r>
          </w:p>
          <w:p>
            <w:pPr>
              <w:pStyle w:val="TableContents"/>
              <w:bidi w:val="0"/>
              <w:spacing w:before="0" w:after="120"/>
              <w:ind w:left="0" w:right="0" w:firstLine="16"/>
              <w:jc w:val="both"/>
              <w:rPr>
                <w:rFonts w:ascii="Times New Roman" w:hAnsi="Times New Roman"/>
                <w:sz w:val="22"/>
              </w:rPr>
            </w:pPr>
            <w:r>
              <w:rPr>
                <w:rFonts w:ascii="Outfit;sans-serif" w:hAnsi="Outfit;sans-serif"/>
                <w:color w:val="000000"/>
                <w:sz w:val="22"/>
              </w:rPr>
              <w:t xml:space="preserve">The Compensation Committee’s written charter is available on our website at </w:t>
            </w:r>
            <w:r>
              <w:rPr>
                <w:rFonts w:ascii="Outfit;sans-serif" w:hAnsi="Outfit;sans-serif"/>
                <w:i/>
                <w:color w:val="000000"/>
                <w:sz w:val="22"/>
              </w:rPr>
              <w:t>investors.cargurus.com</w:t>
            </w:r>
            <w:r>
              <w:rPr>
                <w:rFonts w:ascii="Times New Roman" w:hAnsi="Times New Roman"/>
                <w:color w:val="000000"/>
                <w:sz w:val="22"/>
              </w:rPr>
              <w:t> </w:t>
            </w:r>
            <w:r>
              <w:rPr>
                <w:rFonts w:ascii="Outfit;sans-serif" w:hAnsi="Outfit;sans-serif"/>
                <w:color w:val="000000"/>
                <w:sz w:val="22"/>
              </w:rPr>
              <w:t>at “Governance” and satisfies the applicable Nasdaq listing standards.</w:t>
            </w:r>
          </w:p>
        </w:tc>
      </w:tr>
    </w:tbl>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Attendance at Board and Committee Meetings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During 2025 each of our directors attended an average of 99% of the total number of meetings of the Board and the committees on which they served.</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Executive Sessions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Under our Corporate Governance Guidelines, our non-management directors are required to meet in executive session at least semi-annually to discuss, among other matters, the performance of each of our Executive Chair and Chief Executive Officer. The director who presides at these meetings is a non-management director selected by a majority of the non-management directors. In general, these executive sessions are held on the same date as regularly scheduled meetings of the Board.</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Attendance at Stockholder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Although we do not have a formal policy regarding director attendance at the annual meeting of stockholders, our Corporate Governance Guidelines provide that our directors are invited and encouraged to attend the annual meeting of stockholders. All seven members of the Board serving at such time attended the 2025 annual meeting of stockholders.</w:t>
      </w:r>
    </w:p>
    <w:p>
      <w:pPr>
        <w:pStyle w:val="TextBody"/>
        <w:bidi w:val="0"/>
        <w:jc w:val="center"/>
        <w:rPr>
          <w:rFonts w:ascii="Outfit;sans-serif" w:hAnsi="Outfit;sans-serif"/>
          <w:color w:val="000000"/>
          <w:sz w:val="22"/>
        </w:rPr>
      </w:pPr>
      <w:r>
        <w:rPr>
          <w:rFonts w:ascii="Outfit;sans-serif" w:hAnsi="Outfit;sans-serif"/>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120" w:after="120"/>
        <w:jc w:val="both"/>
        <w:rPr>
          <w:rFonts w:ascii="Outfit;sans-serif" w:hAnsi="Outfit;sans-serif"/>
          <w:b/>
          <w:color w:val="00002D"/>
          <w:sz w:val="32"/>
        </w:rPr>
      </w:pPr>
      <w:bookmarkStart w:id="11" w:name="general_risk_oversight"/>
      <w:bookmarkEnd w:id="11"/>
      <w:r>
        <w:rPr>
          <w:rFonts w:ascii="Outfit;sans-serif" w:hAnsi="Outfit;sans-serif"/>
          <w:b/>
          <w:color w:val="00002D"/>
          <w:sz w:val="32"/>
        </w:rPr>
        <w:t>General Risk Oversight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Board of Directors</w:t>
      </w:r>
    </w:p>
    <w:p>
      <w:pPr>
        <w:pStyle w:val="TextBody"/>
        <w:bidi w:val="0"/>
        <w:spacing w:before="0" w:after="120"/>
        <w:jc w:val="both"/>
        <w:rPr>
          <w:rFonts w:ascii="Times New Roman" w:hAnsi="Times New Roman"/>
          <w:sz w:val="20"/>
        </w:rPr>
      </w:pPr>
      <w:r>
        <w:rPr>
          <w:rFonts w:ascii="Outfit;sans-serif" w:hAnsi="Outfit;sans-serif"/>
          <w:b/>
          <w:i/>
          <w:color w:val="00002D"/>
          <w:sz w:val="22"/>
        </w:rPr>
        <w:t xml:space="preserve">Responsibility: </w:t>
      </w:r>
      <w:r>
        <w:rPr>
          <w:rFonts w:ascii="Outfit;sans-serif" w:hAnsi="Outfit;sans-serif"/>
          <w:color w:val="000000"/>
          <w:sz w:val="22"/>
        </w:rPr>
        <w:t>The Board oversees the management of risks inherent in the operation of our business and the implementation of our business strategies.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Outfit;sans-serif" w:hAnsi="Outfit;sans-serif"/>
          <w:b/>
          <w:i/>
          <w:color w:val="00002D"/>
          <w:sz w:val="22"/>
        </w:rPr>
        <w:t xml:space="preserve">Process: </w:t>
      </w:r>
      <w:r>
        <w:rPr>
          <w:rFonts w:ascii="Outfit;sans-serif" w:hAnsi="Outfit;sans-serif"/>
          <w:color w:val="000000"/>
          <w:sz w:val="22"/>
        </w:rPr>
        <w:t>The Board performs its oversight role by using several different levels of review. In connection with its review of the operations and corporate functions of the Company, the Board addresses the principal risks associated with those operations and corporate functions. In addition, the Board reviews the risks associated with our business strategies periodically throughout the year as part of its consideration of undertaking any such business strategies. The Board has also implemented – and is responsible for overseeing – a compensation recovery, or “clawback,” policy (the Clawback Policy) that allows the Company to recoup certain incentive-based compensation from covered individuals, including its executive officers, pursuant to such policy.</w:t>
      </w:r>
    </w:p>
    <w:p>
      <w:pPr>
        <w:pStyle w:val="TextBody"/>
        <w:bidi w:val="0"/>
        <w:spacing w:before="0" w:after="120"/>
        <w:jc w:val="both"/>
        <w:rPr>
          <w:rFonts w:ascii="Times New Roman" w:hAnsi="Times New Roman"/>
          <w:sz w:val="20"/>
        </w:rPr>
      </w:pPr>
      <w:r>
        <w:rPr>
          <w:rFonts w:ascii="Outfit;sans-serif" w:hAnsi="Outfit;sans-serif"/>
          <w:b/>
          <w:i/>
          <w:color w:val="00002D"/>
          <w:sz w:val="22"/>
        </w:rPr>
        <w:t xml:space="preserve">Delegation: </w:t>
      </w:r>
      <w:r>
        <w:rPr>
          <w:rFonts w:ascii="Outfit;sans-serif" w:hAnsi="Outfit;sans-serif"/>
          <w:color w:val="000000"/>
          <w:sz w:val="22"/>
        </w:rPr>
        <w:t>The Board administers its risk oversight responsibilities by delegating certain business and governance activities to the appropriate committees for more detailed consideration and evaluation. In performing this oversight function, each committee has full access to management as well as the ability to engage advisors or other experts it deems necessary in the performance of its duties. Each committee regularly reports their risk oversight activities to the Board.</w:t>
      </w:r>
    </w:p>
    <w:tbl>
      <w:tblPr>
        <w:tblW w:w="10205" w:type="dxa"/>
        <w:jc w:val="left"/>
        <w:tblInd w:w="0" w:type="dxa"/>
        <w:tblLayout w:type="fixed"/>
        <w:tblCellMar>
          <w:top w:w="28" w:type="dxa"/>
          <w:left w:w="28" w:type="dxa"/>
          <w:bottom w:w="28" w:type="dxa"/>
          <w:right w:w="28" w:type="dxa"/>
        </w:tblCellMar>
      </w:tblPr>
      <w:tblGrid>
        <w:gridCol w:w="4701"/>
        <w:gridCol w:w="506"/>
        <w:gridCol w:w="4998"/>
      </w:tblGrid>
      <w:tr>
        <w:trPr/>
        <w:tc>
          <w:tcPr>
            <w:tcW w:w="470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98"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E4F6FF" w:val="clear"/>
            <w:tcMar>
              <w:top w:w="0" w:type="dxa"/>
              <w:left w:w="0" w:type="dxa"/>
              <w:bottom w:w="0" w:type="dxa"/>
              <w:right w:w="0" w:type="dxa"/>
            </w:tcMar>
            <w:vAlign w:val="center"/>
          </w:tcPr>
          <w:p>
            <w:pPr>
              <w:pStyle w:val="TableContents"/>
              <w:bidi w:val="0"/>
              <w:spacing w:before="60" w:after="60"/>
              <w:jc w:val="center"/>
              <w:rPr>
                <w:rFonts w:ascii="Outfit;sans-serif" w:hAnsi="Outfit;sans-serif"/>
                <w:b/>
                <w:color w:val="3465B0"/>
                <w:sz w:val="22"/>
              </w:rPr>
            </w:pPr>
            <w:r>
              <w:rPr>
                <w:rFonts w:ascii="Outfit;sans-serif" w:hAnsi="Outfit;sans-serif"/>
                <w:b/>
                <w:color w:val="3465B0"/>
                <w:sz w:val="22"/>
              </w:rPr>
              <w:t>Audit Committee</w:t>
            </w:r>
          </w:p>
        </w:tc>
        <w:tc>
          <w:tcPr>
            <w:tcW w:w="506" w:type="dxa"/>
            <w:tcBorders/>
            <w:tcMar>
              <w:top w:w="0" w:type="dxa"/>
              <w:left w:w="0" w:type="dxa"/>
              <w:bottom w:w="0" w:type="dxa"/>
              <w:right w:w="0" w:type="dxa"/>
            </w:tcMar>
            <w:vAlign w:val="center"/>
          </w:tcPr>
          <w:p>
            <w:pPr>
              <w:pStyle w:val="TableContents"/>
              <w:bidi w:val="0"/>
              <w:spacing w:before="60" w:after="60"/>
              <w:jc w:val="center"/>
              <w:rPr/>
            </w:pPr>
            <w:r>
              <w:rPr/>
              <w:t> </w:t>
            </w:r>
          </w:p>
        </w:tc>
        <w:tc>
          <w:tcPr>
            <w:tcW w:w="4998" w:type="dxa"/>
            <w:tcBorders/>
            <w:shd w:fill="E4F6FF" w:val="clear"/>
            <w:tcMar>
              <w:top w:w="0" w:type="dxa"/>
              <w:left w:w="0" w:type="dxa"/>
              <w:bottom w:w="0" w:type="dxa"/>
              <w:right w:w="0" w:type="dxa"/>
            </w:tcMar>
            <w:vAlign w:val="center"/>
          </w:tcPr>
          <w:p>
            <w:pPr>
              <w:pStyle w:val="TableContents"/>
              <w:bidi w:val="0"/>
              <w:spacing w:before="60" w:after="60"/>
              <w:ind w:left="0" w:right="0" w:firstLine="360"/>
              <w:jc w:val="center"/>
              <w:rPr>
                <w:rFonts w:ascii="Outfit;sans-serif" w:hAnsi="Outfit;sans-serif"/>
                <w:b/>
                <w:color w:val="3465B0"/>
                <w:sz w:val="22"/>
              </w:rPr>
            </w:pPr>
            <w:r>
              <w:rPr>
                <w:rFonts w:ascii="Outfit;sans-serif" w:hAnsi="Outfit;sans-serif"/>
                <w:b/>
                <w:color w:val="3465B0"/>
                <w:sz w:val="22"/>
              </w:rPr>
              <w:t>Compensation Committee</w:t>
            </w:r>
          </w:p>
        </w:tc>
      </w:tr>
      <w:tr>
        <w:trPr/>
        <w:tc>
          <w:tcPr>
            <w:tcW w:w="4701" w:type="dxa"/>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p>
            <w:pPr>
              <w:pStyle w:val="TableContents"/>
              <w:bidi w:val="0"/>
              <w:spacing w:before="0" w:after="120"/>
              <w:jc w:val="left"/>
              <w:rPr>
                <w:rFonts w:ascii="Outfit;sans-serif" w:hAnsi="Outfit;sans-serif"/>
                <w:color w:val="000000"/>
                <w:sz w:val="22"/>
              </w:rPr>
            </w:pPr>
            <w:r>
              <w:rPr>
                <w:rFonts w:ascii="Outfit;sans-serif" w:hAnsi="Outfit;sans-serif"/>
                <w:color w:val="000000"/>
                <w:sz w:val="22"/>
              </w:rPr>
              <w:t>Considers and discusses our major financial risk exposures and the steps our management has taken to monitor and control these exposures, including guidelines and policies to govern the process by which risk assessment and management are undertaken</w:t>
            </w:r>
          </w:p>
        </w:tc>
        <w:tc>
          <w:tcPr>
            <w:tcW w:w="506" w:type="dxa"/>
            <w:tcBorders/>
            <w:tcMar>
              <w:top w:w="0" w:type="dxa"/>
              <w:left w:w="0" w:type="dxa"/>
              <w:bottom w:w="0" w:type="dxa"/>
              <w:right w:w="0" w:type="dxa"/>
            </w:tcMar>
            <w:vAlign w:val="center"/>
          </w:tcPr>
          <w:p>
            <w:pPr>
              <w:pStyle w:val="TableContents"/>
              <w:bidi w:val="0"/>
              <w:spacing w:before="60" w:after="60"/>
              <w:ind w:left="0" w:right="0" w:firstLine="360"/>
              <w:jc w:val="both"/>
              <w:rPr/>
            </w:pPr>
            <w:r>
              <w:rPr/>
              <w:t> </w:t>
            </w:r>
          </w:p>
        </w:tc>
        <w:tc>
          <w:tcPr>
            <w:tcW w:w="4998" w:type="dxa"/>
            <w:tcBorders/>
            <w:tcMar>
              <w:top w:w="0" w:type="dxa"/>
              <w:left w:w="0" w:type="dxa"/>
              <w:bottom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ind w:left="0" w:right="0" w:firstLine="360"/>
              <w:jc w:val="left"/>
              <w:rPr>
                <w:rFonts w:ascii="Outfit;sans-serif" w:hAnsi="Outfit;sans-serif"/>
                <w:color w:val="000000"/>
                <w:sz w:val="22"/>
              </w:rPr>
            </w:pPr>
            <w:r>
              <w:rPr>
                <w:rFonts w:ascii="Outfit;sans-serif" w:hAnsi="Outfit;sans-serif"/>
                <w:color w:val="000000"/>
                <w:sz w:val="22"/>
              </w:rPr>
              <w:t>Assesses and monitors the extent to which our incentive compensation programs and policies for employees may encourage excessive risk-taking and the relationship between risk management policies and practices and compensation</w:t>
            </w:r>
          </w:p>
        </w:tc>
      </w:tr>
      <w:tr>
        <w:trPr/>
        <w:tc>
          <w:tcPr>
            <w:tcW w:w="4701" w:type="dxa"/>
            <w:tcBorders/>
            <w:tcMar>
              <w:top w:w="0" w:type="dxa"/>
              <w:left w:w="0" w:type="dxa"/>
              <w:bottom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Monitors our compliance with legal and regulatory requirements, in addition to oversight of the performance of our internal audit function</w:t>
            </w:r>
          </w:p>
        </w:tc>
        <w:tc>
          <w:tcPr>
            <w:tcW w:w="506" w:type="dxa"/>
            <w:tcBorders/>
            <w:tcMar>
              <w:top w:w="0" w:type="dxa"/>
              <w:left w:w="0" w:type="dxa"/>
              <w:bottom w:w="0" w:type="dxa"/>
              <w:right w:w="0" w:type="dxa"/>
            </w:tcMar>
            <w:vAlign w:val="center"/>
          </w:tcPr>
          <w:p>
            <w:pPr>
              <w:pStyle w:val="TableContents"/>
              <w:bidi w:val="0"/>
              <w:spacing w:before="60" w:after="60"/>
              <w:ind w:left="0" w:right="0" w:firstLine="360"/>
              <w:jc w:val="both"/>
              <w:rPr/>
            </w:pPr>
            <w:r>
              <w:rPr/>
              <w:t> </w:t>
            </w:r>
          </w:p>
        </w:tc>
        <w:tc>
          <w:tcPr>
            <w:tcW w:w="4998" w:type="dxa"/>
            <w:tcBorders/>
            <w:tcMar>
              <w:top w:w="0" w:type="dxa"/>
              <w:left w:w="0" w:type="dxa"/>
              <w:bottom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Outfit;sans-serif" w:hAnsi="Outfit;sans-serif"/>
                <w:color w:val="000000"/>
                <w:sz w:val="22"/>
              </w:rPr>
            </w:pPr>
            <w:r>
              <w:rPr>
                <w:rFonts w:ascii="Outfit;sans-serif" w:hAnsi="Outfit;sans-serif"/>
                <w:color w:val="000000"/>
                <w:sz w:val="22"/>
              </w:rPr>
              <w:t>Evaluates compensation policies and practices that could mitigate any such risk</w:t>
            </w:r>
          </w:p>
        </w:tc>
      </w:tr>
    </w:tbl>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Management</w:t>
      </w:r>
    </w:p>
    <w:p>
      <w:pPr>
        <w:pStyle w:val="TextBody"/>
        <w:bidi w:val="0"/>
        <w:spacing w:before="0" w:after="120"/>
        <w:jc w:val="both"/>
        <w:rPr>
          <w:rFonts w:ascii="Times New Roman" w:hAnsi="Times New Roman"/>
          <w:sz w:val="20"/>
        </w:rPr>
      </w:pPr>
      <w:r>
        <w:rPr>
          <w:rFonts w:ascii="Outfit;sans-serif" w:hAnsi="Outfit;sans-serif"/>
          <w:b/>
          <w:i/>
          <w:color w:val="00002D"/>
          <w:sz w:val="22"/>
        </w:rPr>
        <w:t xml:space="preserve">Responsibility: </w:t>
      </w:r>
      <w:r>
        <w:rPr>
          <w:rFonts w:ascii="Outfit;sans-serif" w:hAnsi="Outfit;sans-serif"/>
          <w:color w:val="000000"/>
          <w:sz w:val="22"/>
        </w:rPr>
        <w:t>Day-to-day identification, evaluation, management, and mitigation of the Company’s risk exposures.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Outfit;sans-serif" w:hAnsi="Outfit;sans-serif"/>
          <w:b/>
          <w:i/>
          <w:color w:val="00002D"/>
          <w:sz w:val="22"/>
        </w:rPr>
        <w:t xml:space="preserve">Process: </w:t>
      </w:r>
      <w:r>
        <w:rPr>
          <w:rFonts w:ascii="Outfit;sans-serif" w:hAnsi="Outfit;sans-serif"/>
          <w:color w:val="000000"/>
          <w:sz w:val="22"/>
        </w:rPr>
        <w:t>Management manages these enterprise risks through a variety of policies, programs, committees, and internal controls designed to protect our assets, operations, and reputation, while ensuring compliance with applicable laws and regulations. Management provides a quarterly update to the Audit Committee on compliance and risk management developments, policies, and procedures, and auditing covering the risk topics of financial accounting, technology and security, legal and corporate governance, and people and talent.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Cybersecurity Risk Oversight</w:t>
      </w:r>
    </w:p>
    <w:p>
      <w:pPr>
        <w:pStyle w:val="TextBody"/>
        <w:bidi w:val="0"/>
        <w:spacing w:before="0" w:after="120"/>
        <w:jc w:val="both"/>
        <w:rPr>
          <w:rFonts w:ascii="Times New Roman" w:hAnsi="Times New Roman"/>
          <w:sz w:val="20"/>
        </w:rPr>
      </w:pPr>
      <w:r>
        <w:rPr>
          <w:rFonts w:ascii="Outfit;sans-serif" w:hAnsi="Outfit;sans-serif"/>
          <w:color w:val="000000"/>
          <w:sz w:val="22"/>
        </w:rPr>
        <w:t>Management of cybersecurity risk remains an important area of focus for us. We have policies, procedures, and processes for assessing, identifying, and managing cybersecurity risks, which are built into our overall information technology function and are designed to help protect our information assets and operations from internal and external cyber threats as well as secure our networks and systems. Our Director of Information Security, who reports to our Chief Technology Officer, leads our cybersecurity initiatives and oversees our</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Security Operations and Governance, Risk, and Compliance teams, which includes assessing, managing, and monitoring our cybersecurity risks and response programs.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with a primary focus on policy, oversight, and strategic direction, has delegated to the Audit Committee primary responsibility for regular oversight of cybersecurity risk at the Board-level, and this responsibility is reflected in the Audit Committee Charter. The Audit Committee regularly meets with members of management responsible for data privacy, technology, and information security risks to discuss these risks, risk management activities, incident response plans, best practices, the effectiveness of our security measures, and other related matters.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Please see Item 1C. Cybersecurity in Part I of our Annual Report for additional information regarding cybersecurity matters.</w:t>
      </w:r>
    </w:p>
    <w:p>
      <w:pPr>
        <w:pStyle w:val="TextBody"/>
        <w:bidi w:val="0"/>
        <w:spacing w:before="0" w:after="120"/>
        <w:jc w:val="both"/>
        <w:rPr>
          <w:rFonts w:ascii="Times New Roman" w:hAnsi="Times New Roman"/>
          <w:sz w:val="20"/>
        </w:rPr>
      </w:pPr>
      <w:bookmarkStart w:id="12" w:name="director_compensation"/>
      <w:bookmarkEnd w:id="12"/>
      <w:r>
        <w:rPr>
          <w:rFonts w:ascii="Outfit;sans-serif" w:hAnsi="Outfit;sans-serif"/>
          <w:b/>
          <w:color w:val="00002D"/>
          <w:sz w:val="32"/>
        </w:rPr>
        <w:t>Director Compensation</w:t>
      </w:r>
      <w:r>
        <w:rPr>
          <w:rFonts w:ascii="Times New Roman" w:hAnsi="Times New Roman"/>
          <w:color w:val="00002D"/>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During 2025 we compensated our non-employee directors for their service as directors. Accordingly, as employees, neither Mr. Steinert, our Executive Chair and Chair of the Board, nor Mr. Trevisan, our Chief Executive Officer, received any additional compensation for their service as directors.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periodically reviews the compensation of our non-employee directors and, as applicable, makes recommendations to the Board for its consideration of changes to our non-employee director compensation program. The Compensation Committee compares the compensation of the non-employee members of the Board to the compensation paid to the non-employee directors of the companies in our compensation peer group. The Compensation Committee also considers the responsibilities we ask from the members of the Board along with the amount of time required to perform those responsibilities.</w:t>
      </w:r>
    </w:p>
    <w:p>
      <w:pPr>
        <w:pStyle w:val="TextBody"/>
        <w:bidi w:val="0"/>
        <w:spacing w:before="0" w:after="120"/>
        <w:jc w:val="both"/>
        <w:rPr>
          <w:rFonts w:ascii="Outfit;sans-serif" w:hAnsi="Outfit;sans-serif"/>
          <w:b/>
          <w:color w:val="3465B0"/>
          <w:sz w:val="22"/>
        </w:rPr>
      </w:pPr>
      <w:r>
        <w:rPr>
          <w:rFonts w:ascii="Outfit;sans-serif" w:hAnsi="Outfit;sans-serif"/>
          <w:b/>
          <w:color w:val="3465B0"/>
          <w:sz w:val="22"/>
        </w:rPr>
        <w:t>2025 Changes to Director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February 2025 the Compensation Committee recommended and the Board approved a modification to our non-employee director compensation program to:</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increase annual cash compensation for all non-employee directors, effective as of January 1, 2025, from $40,000 to $50,000; and</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increase the value of the annual equity compensation award from $175,000 to $200,000.</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These changes were made based on a competitive analysis of our non-employee director compensation program as compared to our peers and were made to ensure our program remained aligned with the market.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Cash Compensation</w:t>
      </w:r>
    </w:p>
    <w:p>
      <w:pPr>
        <w:pStyle w:val="TextBody"/>
        <w:bidi w:val="0"/>
        <w:spacing w:before="0" w:after="120"/>
        <w:jc w:val="both"/>
        <w:rPr>
          <w:rFonts w:ascii="Times New Roman" w:hAnsi="Times New Roman"/>
          <w:sz w:val="20"/>
        </w:rPr>
      </w:pPr>
      <w:r>
        <w:rPr>
          <w:rFonts w:ascii="Outfit;sans-serif" w:hAnsi="Outfit;sans-serif"/>
          <w:color w:val="000000"/>
          <w:sz w:val="22"/>
        </w:rPr>
        <w:t>We have established a cash and equity compensation program for our non-employee directors in consideration of their service on the Board and committees of the Board.</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cash compensation approved by the Board for 2025 was as follows:</w:t>
      </w:r>
    </w:p>
    <w:tbl>
      <w:tblPr>
        <w:tblW w:w="10205" w:type="dxa"/>
        <w:jc w:val="left"/>
        <w:tblInd w:w="0" w:type="dxa"/>
        <w:tblLayout w:type="fixed"/>
        <w:tblCellMar>
          <w:top w:w="28" w:type="dxa"/>
          <w:left w:w="28" w:type="dxa"/>
          <w:bottom w:w="28" w:type="dxa"/>
          <w:right w:w="28" w:type="dxa"/>
        </w:tblCellMar>
      </w:tblPr>
      <w:tblGrid>
        <w:gridCol w:w="8733"/>
        <w:gridCol w:w="256"/>
        <w:gridCol w:w="1216"/>
      </w:tblGrid>
      <w:tr>
        <w:trPr/>
        <w:tc>
          <w:tcPr>
            <w:tcW w:w="87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733"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Annual Base Compensation for Non-Employee Directors</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1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50,000</w:t>
            </w:r>
          </w:p>
        </w:tc>
      </w:tr>
      <w:tr>
        <w:trPr/>
        <w:tc>
          <w:tcPr>
            <w:tcW w:w="87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Additional Compensation for Audit Committee Chair</w:t>
            </w:r>
          </w:p>
        </w:tc>
        <w:tc>
          <w:tcPr>
            <w:tcW w:w="25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16" w:type="dxa"/>
            <w:tcBorders/>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20,000</w:t>
            </w:r>
          </w:p>
        </w:tc>
      </w:tr>
      <w:tr>
        <w:trPr/>
        <w:tc>
          <w:tcPr>
            <w:tcW w:w="8733"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Additional Compensation for Compensation Committee Chair</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1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15,000</w:t>
            </w:r>
          </w:p>
        </w:tc>
      </w:tr>
      <w:tr>
        <w:trPr/>
        <w:tc>
          <w:tcPr>
            <w:tcW w:w="87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Additional Compensation for Audit Committee Member (not Chair)</w:t>
            </w:r>
          </w:p>
        </w:tc>
        <w:tc>
          <w:tcPr>
            <w:tcW w:w="25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16" w:type="dxa"/>
            <w:tcBorders/>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10,000</w:t>
            </w:r>
          </w:p>
        </w:tc>
      </w:tr>
      <w:tr>
        <w:trPr/>
        <w:tc>
          <w:tcPr>
            <w:tcW w:w="8733"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Additional Compensation for Compensation Committee Member (not Chair)</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5,000</w:t>
            </w:r>
          </w:p>
        </w:tc>
      </w:tr>
    </w:tbl>
    <w:p>
      <w:pPr>
        <w:pStyle w:val="TextBody"/>
        <w:bidi w:val="0"/>
        <w:spacing w:before="120" w:after="120"/>
        <w:jc w:val="both"/>
        <w:rPr>
          <w:rFonts w:ascii="Outfit;sans-serif" w:hAnsi="Outfit;sans-serif"/>
          <w:color w:val="000000"/>
          <w:sz w:val="22"/>
        </w:rPr>
      </w:pPr>
      <w:r>
        <w:rPr>
          <w:rFonts w:ascii="Outfit;sans-serif" w:hAnsi="Outfit;sans-serif"/>
          <w:color w:val="000000"/>
          <w:sz w:val="22"/>
        </w:rPr>
        <w:t>The payments described above are payable quarterly in arrears.</w:t>
      </w:r>
    </w:p>
    <w:p>
      <w:pPr>
        <w:pStyle w:val="TextBody"/>
        <w:bidi w:val="0"/>
        <w:jc w:val="center"/>
        <w:rPr>
          <w:rFonts w:ascii="Outfit;sans-serif" w:hAnsi="Outfit;sans-serif"/>
          <w:color w:val="000000"/>
          <w:sz w:val="22"/>
        </w:rPr>
      </w:pPr>
      <w:r>
        <w:rPr>
          <w:rFonts w:ascii="Outfit;sans-serif" w:hAnsi="Outfit;sans-serif"/>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Board of Directors</w:t>
            </w:r>
          </w:p>
          <w:p>
            <w:pPr>
              <w:pStyle w:val="Heading1"/>
              <w:bidi w:val="0"/>
              <w:spacing w:before="240" w:after="283"/>
              <w:jc w:val="center"/>
              <w:rPr/>
            </w:pPr>
            <w:r>
              <w:rPr/>
              <w:t> </w:t>
            </w:r>
          </w:p>
        </w:tc>
      </w:tr>
    </w:tbl>
    <w:p>
      <w:pPr>
        <w:pStyle w:val="Heading1"/>
        <w:bidi w:val="0"/>
        <w:jc w:val="left"/>
        <w:rPr/>
      </w:pPr>
      <w:r>
        <w:rPr/>
        <w:t> </w:t>
      </w:r>
    </w:p>
    <w:p>
      <w:pPr>
        <w:pStyle w:val="TextBody"/>
        <w:bidi w:val="0"/>
        <w:spacing w:before="120" w:after="120"/>
        <w:jc w:val="both"/>
        <w:rPr>
          <w:rFonts w:ascii="Outfit;sans-serif" w:hAnsi="Outfit;sans-serif"/>
          <w:color w:val="000000"/>
          <w:sz w:val="22"/>
        </w:rPr>
      </w:pPr>
      <w:r>
        <w:rPr>
          <w:rFonts w:ascii="Outfit;sans-serif" w:hAnsi="Outfit;sans-serif"/>
          <w:color w:val="000000"/>
          <w:sz w:val="22"/>
        </w:rPr>
        <w:t>Each non-employee member of the Board is also entitled to reimbursement for reasonable travel and other expenses incurred in connection with attending Board meetings and meetings for any committee on which the member serves and for reasonable costs and expenses incurred in attending director education programs.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Equity Compensation</w:t>
      </w:r>
    </w:p>
    <w:p>
      <w:pPr>
        <w:pStyle w:val="TextBody"/>
        <w:bidi w:val="0"/>
        <w:spacing w:before="0" w:after="120"/>
        <w:jc w:val="both"/>
        <w:rPr>
          <w:rFonts w:ascii="Times New Roman" w:hAnsi="Times New Roman"/>
          <w:sz w:val="20"/>
        </w:rPr>
      </w:pPr>
      <w:r>
        <w:rPr>
          <w:rFonts w:ascii="Outfit;sans-serif" w:hAnsi="Outfit;sans-serif"/>
          <w:color w:val="000000"/>
          <w:sz w:val="22"/>
        </w:rPr>
        <w:t>Pursuant to our non-employee director compensation program, for service during the year each non-employee director is eligible to receive an annual grant (the Annual Director Grant) of a restricted stock unit (RSU) award on our standard form of RSU award agreement for non-employee directors pursuant to our Omnibus Incentive Compensation Plan (the 2017 Plan) and subject to Board approval. Each Annual Director Grant is granted on or promptly after the date of the annual meeting of stockholders; provided that if a new non-employee director joins the Board on a date other than the date of such annual meeting, the Annual Director Grant is granted on or promptly after the director’s commencement of service. The number of RSUs subject to the Annual Director Grant for 2025 was determined based on dividing $200,000 by the closing market price of our Class A common stock on Nasdaq on the grant date; provided that if a new non-employee director joins the Board on a date other than the annual meeting date, the value of RSUs is prorated for the director’s expected service for the remainder of the year. The RSU awards comprising the Annual Director Grant are subject to a service-based vesting requirement, vesting in full on the first anniversary of such grant.</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On June 4, 2025, the Board granted to each of our non-employee directors serving at such time a RSU award that may be settled for 6,248 shares of our Class A common stock.</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2025 Director Compensation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sets forth information regarding the compensation of our non-employee directors who served on the Board in 2025:</w:t>
      </w:r>
    </w:p>
    <w:tbl>
      <w:tblPr>
        <w:tblW w:w="8224" w:type="dxa"/>
        <w:jc w:val="left"/>
        <w:tblInd w:w="0" w:type="dxa"/>
        <w:tblLayout w:type="fixed"/>
        <w:tblCellMar>
          <w:top w:w="28" w:type="dxa"/>
          <w:left w:w="28" w:type="dxa"/>
          <w:bottom w:w="28" w:type="dxa"/>
          <w:right w:w="28" w:type="dxa"/>
        </w:tblCellMar>
      </w:tblPr>
      <w:tblGrid>
        <w:gridCol w:w="1891"/>
        <w:gridCol w:w="2431"/>
        <w:gridCol w:w="2776"/>
        <w:gridCol w:w="1126"/>
      </w:tblGrid>
      <w:tr>
        <w:trPr/>
        <w:tc>
          <w:tcPr>
            <w:tcW w:w="189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w:t>
            </w:r>
          </w:p>
        </w:tc>
        <w:tc>
          <w:tcPr>
            <w:tcW w:w="243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Fees Earned</w:t>
              <w:br/>
              <w:t>or Paid in Cash ($)</w:t>
            </w:r>
          </w:p>
        </w:tc>
        <w:tc>
          <w:tcPr>
            <w:tcW w:w="27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Stock Awards ($)</w:t>
            </w:r>
            <w:r>
              <w:rPr>
                <w:rFonts w:ascii="Outfit;sans-serif" w:hAnsi="Outfit;sans-serif"/>
                <w:b/>
                <w:color w:val="3465B0"/>
                <w:sz w:val="15"/>
              </w:rPr>
              <w:t>(1)(2)</w:t>
            </w:r>
          </w:p>
        </w:tc>
        <w:tc>
          <w:tcPr>
            <w:tcW w:w="112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Total</w:t>
              <w:br/>
              <w:t>($)</w:t>
            </w:r>
          </w:p>
        </w:tc>
      </w:tr>
      <w:tr>
        <w:trPr/>
        <w:tc>
          <w:tcPr>
            <w:tcW w:w="1891" w:type="dxa"/>
            <w:tcBorders/>
            <w:shd w:fill="D9E1EB" w:val="clear"/>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Steven Conine</w:t>
            </w:r>
          </w:p>
        </w:tc>
        <w:tc>
          <w:tcPr>
            <w:tcW w:w="243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55,000</w:t>
            </w:r>
          </w:p>
        </w:tc>
        <w:tc>
          <w:tcPr>
            <w:tcW w:w="27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199,998</w:t>
            </w:r>
          </w:p>
        </w:tc>
        <w:tc>
          <w:tcPr>
            <w:tcW w:w="112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254,998</w:t>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Manik Gupta</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60,000</w:t>
            </w:r>
          </w:p>
        </w:tc>
        <w:tc>
          <w:tcPr>
            <w:tcW w:w="27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199,998</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259,998</w:t>
            </w:r>
          </w:p>
        </w:tc>
      </w:tr>
      <w:tr>
        <w:trPr/>
        <w:tc>
          <w:tcPr>
            <w:tcW w:w="1891" w:type="dxa"/>
            <w:tcBorders/>
            <w:shd w:fill="D9E1EB" w:val="clear"/>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Lori Hickok</w:t>
            </w:r>
          </w:p>
        </w:tc>
        <w:tc>
          <w:tcPr>
            <w:tcW w:w="243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70,000</w:t>
            </w:r>
          </w:p>
        </w:tc>
        <w:tc>
          <w:tcPr>
            <w:tcW w:w="27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199,998</w:t>
            </w:r>
          </w:p>
        </w:tc>
        <w:tc>
          <w:tcPr>
            <w:tcW w:w="112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269,998</w:t>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Stephen Kaufer</w:t>
            </w:r>
          </w:p>
        </w:tc>
        <w:tc>
          <w:tcPr>
            <w:tcW w:w="24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65,000</w:t>
            </w:r>
          </w:p>
        </w:tc>
        <w:tc>
          <w:tcPr>
            <w:tcW w:w="27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199,998</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264,998</w:t>
            </w:r>
          </w:p>
        </w:tc>
      </w:tr>
      <w:tr>
        <w:trPr/>
        <w:tc>
          <w:tcPr>
            <w:tcW w:w="1891" w:type="dxa"/>
            <w:tcBorders/>
            <w:shd w:fill="D9E1EB" w:val="clear"/>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Greg Schwartz</w:t>
            </w:r>
          </w:p>
        </w:tc>
        <w:tc>
          <w:tcPr>
            <w:tcW w:w="243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60,000</w:t>
            </w:r>
          </w:p>
        </w:tc>
        <w:tc>
          <w:tcPr>
            <w:tcW w:w="27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199,998</w:t>
            </w:r>
          </w:p>
        </w:tc>
        <w:tc>
          <w:tcPr>
            <w:tcW w:w="112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259,998</w:t>
            </w:r>
          </w:p>
        </w:tc>
      </w:tr>
    </w:tbl>
    <w:p>
      <w:pPr>
        <w:pStyle w:val="TextBody"/>
        <w:bidi w:val="0"/>
        <w:spacing w:before="120" w:after="283"/>
        <w:jc w:val="both"/>
        <w:rPr>
          <w:rFonts w:ascii="sans-serif" w:hAnsi="sans-serif"/>
          <w:color w:val="000000"/>
          <w:sz w:val="20"/>
        </w:rPr>
      </w:pPr>
      <w:r>
        <w:rPr>
          <w:rFonts w:ascii="sans-serif" w:hAnsi="sans-serif"/>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amount reported in this column represents the aggregate grant date fair value of the RSU award based on the closing market price of our Class A common stock on the date of grant computed in accordance with Financial Accounting Standard Board’s ASC Topic 718 (FASB ASC Topic 718). Please see Notes 2 and 11 to the consolidated financial statements in our Annual Report for the assumptions regarding the valuation of these equity awards.</w:t>
      </w:r>
    </w:p>
    <w:p>
      <w:pPr>
        <w:pStyle w:val="TextBody"/>
        <w:bidi w:val="0"/>
        <w:spacing w:before="120" w:after="120"/>
        <w:jc w:val="both"/>
        <w:rPr>
          <w:rFonts w:ascii="sans-serif" w:hAnsi="sans-serif"/>
          <w:color w:val="000000"/>
          <w:sz w:val="20"/>
        </w:rPr>
      </w:pPr>
      <w:r>
        <w:rPr>
          <w:rFonts w:ascii="sans-serif" w:hAnsi="sans-serif"/>
          <w:color w:val="000000"/>
          <w:sz w:val="20"/>
        </w:rPr>
        <w:t>(2)</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As of December 31, 2025, our non-employee directors held the following aggregate number of shares of our Class A common stock under unvested RSU awards:</w:t>
      </w:r>
    </w:p>
    <w:tbl>
      <w:tblPr>
        <w:tblW w:w="5132" w:type="dxa"/>
        <w:jc w:val="left"/>
        <w:tblInd w:w="0" w:type="dxa"/>
        <w:tblLayout w:type="fixed"/>
        <w:tblCellMar>
          <w:top w:w="28" w:type="dxa"/>
          <w:left w:w="28" w:type="dxa"/>
          <w:bottom w:w="28" w:type="dxa"/>
          <w:right w:w="28" w:type="dxa"/>
        </w:tblCellMar>
      </w:tblPr>
      <w:tblGrid>
        <w:gridCol w:w="1621"/>
        <w:gridCol w:w="3511"/>
      </w:tblGrid>
      <w:tr>
        <w:trPr/>
        <w:tc>
          <w:tcPr>
            <w:tcW w:w="162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0"/>
              </w:rPr>
            </w:pPr>
            <w:r>
              <w:rPr>
                <w:rFonts w:ascii="Outfit;sans-serif" w:hAnsi="Outfit;sans-serif"/>
                <w:b/>
                <w:color w:val="3465B0"/>
                <w:sz w:val="20"/>
              </w:rPr>
              <w:t>Name</w:t>
            </w:r>
          </w:p>
        </w:tc>
        <w:tc>
          <w:tcPr>
            <w:tcW w:w="351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Aggregate Number of Shares</w:t>
              <w:br/>
              <w:t>Underlying 2025 Stock Awards</w:t>
            </w:r>
          </w:p>
        </w:tc>
      </w:tr>
      <w:tr>
        <w:trPr/>
        <w:tc>
          <w:tcPr>
            <w:tcW w:w="1621" w:type="dxa"/>
            <w:tcBorders/>
            <w:shd w:fill="D9E1EB" w:val="clear"/>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0"/>
              </w:rPr>
            </w:pPr>
            <w:r>
              <w:rPr>
                <w:rFonts w:ascii="Outfit;sans-serif" w:hAnsi="Outfit;sans-serif"/>
                <w:color w:val="000000"/>
                <w:sz w:val="20"/>
              </w:rPr>
              <w:t>Steven Conine</w:t>
            </w:r>
          </w:p>
        </w:tc>
        <w:tc>
          <w:tcPr>
            <w:tcW w:w="3511"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6,248</w:t>
            </w:r>
          </w:p>
        </w:tc>
      </w:tr>
      <w:tr>
        <w:trPr/>
        <w:tc>
          <w:tcPr>
            <w:tcW w:w="1621" w:type="dxa"/>
            <w:tcBorders/>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0"/>
              </w:rPr>
            </w:pPr>
            <w:r>
              <w:rPr>
                <w:rFonts w:ascii="Outfit;sans-serif" w:hAnsi="Outfit;sans-serif"/>
                <w:color w:val="000000"/>
                <w:sz w:val="20"/>
              </w:rPr>
              <w:t>Manik Gupta</w:t>
            </w:r>
          </w:p>
        </w:tc>
        <w:tc>
          <w:tcPr>
            <w:tcW w:w="3511"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6,248</w:t>
            </w:r>
          </w:p>
        </w:tc>
      </w:tr>
      <w:tr>
        <w:trPr/>
        <w:tc>
          <w:tcPr>
            <w:tcW w:w="1621" w:type="dxa"/>
            <w:tcBorders/>
            <w:shd w:fill="D9E1EB" w:val="clear"/>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0"/>
              </w:rPr>
            </w:pPr>
            <w:r>
              <w:rPr>
                <w:rFonts w:ascii="Outfit;sans-serif" w:hAnsi="Outfit;sans-serif"/>
                <w:color w:val="000000"/>
                <w:sz w:val="20"/>
              </w:rPr>
              <w:t>Lori Hickok</w:t>
            </w:r>
          </w:p>
        </w:tc>
        <w:tc>
          <w:tcPr>
            <w:tcW w:w="3511"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6,248</w:t>
            </w:r>
          </w:p>
        </w:tc>
      </w:tr>
      <w:tr>
        <w:trPr/>
        <w:tc>
          <w:tcPr>
            <w:tcW w:w="1621" w:type="dxa"/>
            <w:tcBorders/>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0"/>
              </w:rPr>
            </w:pPr>
            <w:r>
              <w:rPr>
                <w:rFonts w:ascii="Outfit;sans-serif" w:hAnsi="Outfit;sans-serif"/>
                <w:color w:val="000000"/>
                <w:sz w:val="20"/>
              </w:rPr>
              <w:t>Stephen Kaufer</w:t>
            </w:r>
          </w:p>
        </w:tc>
        <w:tc>
          <w:tcPr>
            <w:tcW w:w="3511"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6,248</w:t>
            </w:r>
          </w:p>
        </w:tc>
      </w:tr>
      <w:tr>
        <w:trPr/>
        <w:tc>
          <w:tcPr>
            <w:tcW w:w="1621" w:type="dxa"/>
            <w:tcBorders/>
            <w:shd w:fill="D9E1EB" w:val="clear"/>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0"/>
              </w:rPr>
            </w:pPr>
            <w:r>
              <w:rPr>
                <w:rFonts w:ascii="Outfit;sans-serif" w:hAnsi="Outfit;sans-serif"/>
                <w:color w:val="000000"/>
                <w:sz w:val="20"/>
              </w:rPr>
              <w:t>Greg Schwartz</w:t>
            </w:r>
          </w:p>
        </w:tc>
        <w:tc>
          <w:tcPr>
            <w:tcW w:w="3511"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6,248</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6391" w:type="dxa"/>
        <w:jc w:val="left"/>
        <w:tblInd w:w="0" w:type="dxa"/>
        <w:tblLayout w:type="fixed"/>
        <w:tblCellMar>
          <w:top w:w="28" w:type="dxa"/>
          <w:left w:w="28" w:type="dxa"/>
          <w:bottom w:w="28" w:type="dxa"/>
          <w:right w:w="28" w:type="dxa"/>
        </w:tblCellMar>
      </w:tblPr>
      <w:tblGrid>
        <w:gridCol w:w="6391"/>
      </w:tblGrid>
      <w:tr>
        <w:trPr/>
        <w:tc>
          <w:tcPr>
            <w:tcW w:w="639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Audit Committee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Times New Roman" w:hAnsi="Times New Roman"/>
          <w:sz w:val="20"/>
        </w:rPr>
      </w:pPr>
      <w:bookmarkStart w:id="13" w:name="audit_committee_matters"/>
      <w:bookmarkEnd w:id="13"/>
      <w:r>
        <w:rPr>
          <w:rFonts w:ascii="Outfit;sans-serif" w:hAnsi="Outfit;sans-serif"/>
          <w:b/>
          <w:color w:val="00002D"/>
          <w:sz w:val="32"/>
        </w:rPr>
        <w:t>P</w:t>
      </w:r>
      <w:bookmarkStart w:id="14" w:name="proposal_2"/>
      <w:bookmarkEnd w:id="14"/>
      <w:r>
        <w:rPr>
          <w:rFonts w:ascii="Outfit;sans-serif" w:hAnsi="Outfit;sans-serif"/>
          <w:b/>
          <w:color w:val="00002D"/>
          <w:sz w:val="32"/>
        </w:rPr>
        <w:t>roposal 2 – Ratification of Appointment of Independent Registered Public Accounting Firm</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Audit Committee has appointed the firm of Ernst &amp; Young, an independent registered public accounting firm, to perform the audit of our consolidated financial statements for the year ending December 31, 2026, and to perform an audit of the effectiveness of our internal control over financial reporting as of December 31, 2026. This appointment is being presented to the stockholders for ratification at the Annual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Ernst &amp; Young has audited our financial statements since the fiscal year ended December 31, 2015. Ernst &amp; Young has no direct or indirect material financial interest in the Company or our subsidiaries. Representatives of Ernst &amp; Young are expected to be present at the Annual Meeting and will be given the opportunity to make a statement on the firm’s behalf if they so desire. The representatives also will be available to respond to appropriate questions.</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Proxies solicited by management will be voted for ratification unless stockholders specify otherwise. Ratification by the stockholders is not required. Although we are not required to submit the appointment of Ernst &amp; Young to a vote of the stockholders, the Board believes it is good corporate governance practice to request that the stockholders ratify the appointment of Ernst &amp; Young as our independent registered public accounting firm. As an advisory vote, this proposal is not binding. The outcome of this advisory vote will not overrule any decision by us or the Board (or any committee thereof). However, if the stockholders do not ratify the appointment, the Audit Committee will consider whether to retain Ernst &amp; Young or appoint another independent registered public accounting firm. Even if the appointment is ratified, the Board and the Audit Committee in their discretion may direct the appointment of a different independent registered public accounting firm at any time if they determine that such a change would be in the best interests of the Company and our stockholders.</w:t>
      </w:r>
    </w:p>
    <w:p>
      <w:pPr>
        <w:pStyle w:val="TextBody"/>
        <w:bidi w:val="0"/>
        <w:spacing w:before="0" w:after="240"/>
        <w:jc w:val="both"/>
        <w:rPr/>
      </w:pPr>
      <w:r>
        <w:rPr/>
        <w:t> </w:t>
      </w:r>
    </w:p>
    <w:tbl>
      <w:tblPr>
        <w:tblW w:w="9421" w:type="dxa"/>
        <w:jc w:val="left"/>
        <w:tblInd w:w="0" w:type="dxa"/>
        <w:tblLayout w:type="fixed"/>
        <w:tblCellMar>
          <w:top w:w="28" w:type="dxa"/>
          <w:left w:w="28" w:type="dxa"/>
          <w:bottom w:w="28" w:type="dxa"/>
          <w:right w:w="28" w:type="dxa"/>
        </w:tblCellMar>
      </w:tblPr>
      <w:tblGrid>
        <w:gridCol w:w="9421"/>
      </w:tblGrid>
      <w:tr>
        <w:trPr/>
        <w:tc>
          <w:tcPr>
            <w:tcW w:w="9421" w:type="dxa"/>
            <w:tcBorders/>
            <w:vAlign w:val="center"/>
          </w:tcPr>
          <w:p>
            <w:pPr>
              <w:pStyle w:val="TableContents"/>
              <w:bidi w:val="0"/>
              <w:spacing w:before="0" w:after="283"/>
              <w:jc w:val="left"/>
              <w:rPr>
                <w:sz w:val="4"/>
                <w:szCs w:val="4"/>
              </w:rPr>
            </w:pPr>
            <w:r>
              <w:rPr>
                <w:sz w:val="4"/>
                <w:szCs w:val="4"/>
              </w:rPr>
            </w:r>
          </w:p>
        </w:tc>
      </w:tr>
      <w:tr>
        <w:trPr/>
        <w:tc>
          <w:tcPr>
            <w:tcW w:w="9421" w:type="dxa"/>
            <w:tcBorders/>
            <w:shd w:fill="003A70" w:val="clear"/>
            <w:tcMar>
              <w:top w:w="0" w:type="dxa"/>
              <w:left w:w="0" w:type="dxa"/>
              <w:bottom w:w="0" w:type="dxa"/>
              <w:right w:w="0" w:type="dxa"/>
            </w:tcMar>
            <w:vAlign w:val="center"/>
          </w:tcPr>
          <w:p>
            <w:pPr>
              <w:pStyle w:val="TableContents"/>
              <w:bidi w:val="0"/>
              <w:spacing w:before="120" w:after="120"/>
              <w:jc w:val="center"/>
              <w:rPr>
                <w:rFonts w:ascii="Outfit;sans-serif" w:hAnsi="Outfit;sans-serif"/>
                <w:b/>
                <w:color w:val="FFFFFF"/>
                <w:sz w:val="24"/>
              </w:rPr>
            </w:pPr>
            <w:r>
              <w:rPr>
                <w:rFonts w:ascii="Outfit;sans-serif" w:hAnsi="Outfit;sans-serif"/>
                <w:b/>
                <w:color w:val="FFFFFF"/>
                <w:sz w:val="24"/>
              </w:rPr>
              <w:t>THE BOARD OF DIRECTORS UNANIMOUSLY RECOMMENDS A VOTE</w:t>
              <w:br/>
              <w:t>“FOR” RATIFICATION OF THE APPOINTMENT OF ERNST &amp; YOUNG AS</w:t>
              <w:br/>
              <w:t xml:space="preserve">OUR INDEPENDENT REGISTERED PUBLIC ACCOUNTING FIRM </w:t>
              <w:br/>
              <w:t>FOR THE YEAR ENDING DECEMBER 31, 2026</w:t>
            </w:r>
          </w:p>
        </w:tc>
      </w:tr>
    </w:tbl>
    <w:p>
      <w:pPr>
        <w:pStyle w:val="TextBody"/>
        <w:bidi w:val="0"/>
        <w:spacing w:before="0" w:after="240"/>
        <w:jc w:val="both"/>
        <w:rPr/>
      </w:pPr>
      <w:r>
        <w:rPr/>
        <w:t> </w:t>
      </w:r>
    </w:p>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6391" w:type="dxa"/>
        <w:jc w:val="left"/>
        <w:tblInd w:w="0" w:type="dxa"/>
        <w:tblLayout w:type="fixed"/>
        <w:tblCellMar>
          <w:top w:w="28" w:type="dxa"/>
          <w:left w:w="28" w:type="dxa"/>
          <w:bottom w:w="28" w:type="dxa"/>
          <w:right w:w="28" w:type="dxa"/>
        </w:tblCellMar>
      </w:tblPr>
      <w:tblGrid>
        <w:gridCol w:w="6391"/>
      </w:tblGrid>
      <w:tr>
        <w:trPr/>
        <w:tc>
          <w:tcPr>
            <w:tcW w:w="639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Audit Committee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color w:val="00002D"/>
          <w:sz w:val="32"/>
        </w:rPr>
      </w:pPr>
      <w:bookmarkStart w:id="15" w:name="audit_committee_report"/>
      <w:bookmarkEnd w:id="15"/>
      <w:r>
        <w:rPr>
          <w:rFonts w:ascii="Outfit;sans-serif" w:hAnsi="Outfit;sans-serif"/>
          <w:b/>
          <w:color w:val="00002D"/>
          <w:sz w:val="32"/>
        </w:rPr>
        <w:t>Audit Committee Report</w:t>
      </w:r>
    </w:p>
    <w:p>
      <w:pPr>
        <w:pStyle w:val="TextBody"/>
        <w:bidi w:val="0"/>
        <w:spacing w:before="0" w:after="120"/>
        <w:jc w:val="both"/>
        <w:rPr>
          <w:rFonts w:ascii="Outfit;sans-serif" w:hAnsi="Outfit;sans-serif"/>
          <w:i/>
          <w:color w:val="000000"/>
          <w:sz w:val="22"/>
        </w:rPr>
      </w:pPr>
      <w:r>
        <w:rPr>
          <w:rFonts w:ascii="Outfit;sans-serif" w:hAnsi="Outfit;sans-serif"/>
          <w:i/>
          <w:color w:val="000000"/>
          <w:sz w:val="22"/>
        </w:rPr>
        <w:t>The report of the Audit Committee is not considered to be “soliciting material,” is not deemed “filed” with the SEC, and is not to be incorporated by reference into any filing of the Company under the Securities Act of 1933, as amended (Securities Act), or the Securities Exchange Act of 1934, as amended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Audit Committee has reviewed and discussed with the Company’s management (i) the audited consolidated financial statements of the Company as of and for the year ended December 31, 2025, (ii) management’s report on its assessment of the effectiveness of the Company’s internal control over financial reporting as of December 31, 2025, and (iii) the report from Ernst &amp; Young, the Company’s independent registered public accounting firm, on the effectiveness of the Company’s internal control over financial reporting as of December 31, 2025. The Audit Committee has met with representatives of Ernst &amp; Young, with and without management present, to discuss the matters required to be discussed under the applicable requirements of the Public Company Accounting Oversight Board (PCAOB) and the SEC and such other matters as it deemed to be appropriate, including the results of their examinations; their evaluations of the Company’s internal control, including internal control over financial reporting; and the overall quality of the Company’s financial reporting.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Company’s management is responsible for the Company’s financial reporting process, including its system of internal controls, and for the preparation of its consolidated financial statements in accordance with U.S. generally accepted accounting principles (GAAP). The independent registered public accounting firm audits the annual consolidated financial statements prepared by management in accordance with standards of the PCAOB, expresses an opinion as to such financial statements, and issues a report on the effectiveness of the Company’s internal control over financial reporting. The Audit Committee is responsible for providing independent, objective oversight of the Company’s accounting functions and internal controls.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Audit Committee has received the written disclosures and the letter from Ernst &amp; Young required by the applicable requirements of the PCAOB regarding the independent registered public accounting firm’s communications with the Audit Committee concerning independence and discussed with Ernst &amp; Young its independence from the Company and its management.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Based on these discussions and the Company’s review of the representations and information provided by management and the Company’s independent registered public accounting firm, the Audit Committee recommended to the Board of Directors that the audited consolidated financial statements be included in the Company’s Annual Report on Form 10-K for the year ended December 31, 2025, for filing with the SEC.</w:t>
      </w:r>
    </w:p>
    <w:p>
      <w:pPr>
        <w:pStyle w:val="TextBody"/>
        <w:bidi w:val="0"/>
        <w:spacing w:before="0" w:after="120"/>
        <w:jc w:val="both"/>
        <w:rPr>
          <w:rFonts w:ascii="Outfit;sans-serif" w:hAnsi="Outfit;sans-serif"/>
          <w:color w:val="3465B0"/>
          <w:sz w:val="22"/>
        </w:rPr>
      </w:pPr>
      <w:r>
        <w:rPr>
          <w:rFonts w:ascii="Outfit;sans-serif" w:hAnsi="Outfit;sans-serif"/>
          <w:color w:val="3465B0"/>
          <w:sz w:val="22"/>
        </w:rPr>
        <w:t>By the Audit Committee of the Board of Directors of CarGurus, Inc.</w:t>
      </w:r>
    </w:p>
    <w:p>
      <w:pPr>
        <w:pStyle w:val="TextBody"/>
        <w:bidi w:val="0"/>
        <w:jc w:val="both"/>
        <w:rPr>
          <w:rFonts w:ascii="Outfit;sans-serif" w:hAnsi="Outfit;sans-serif"/>
          <w:color w:val="000000"/>
          <w:sz w:val="22"/>
        </w:rPr>
      </w:pPr>
      <w:r>
        <w:rPr>
          <w:rFonts w:ascii="Outfit;sans-serif" w:hAnsi="Outfit;sans-serif"/>
          <w:color w:val="000000"/>
          <w:sz w:val="22"/>
        </w:rPr>
        <w:t>Lori Hickok (Chair)</w:t>
      </w:r>
    </w:p>
    <w:p>
      <w:pPr>
        <w:pStyle w:val="TextBody"/>
        <w:bidi w:val="0"/>
        <w:jc w:val="both"/>
        <w:rPr>
          <w:rFonts w:ascii="Outfit;sans-serif" w:hAnsi="Outfit;sans-serif"/>
          <w:color w:val="000000"/>
          <w:sz w:val="22"/>
        </w:rPr>
      </w:pPr>
      <w:r>
        <w:rPr>
          <w:rFonts w:ascii="Outfit;sans-serif" w:hAnsi="Outfit;sans-serif"/>
          <w:color w:val="000000"/>
          <w:sz w:val="22"/>
        </w:rPr>
        <w:t>Manik Gupta</w:t>
      </w:r>
    </w:p>
    <w:p>
      <w:pPr>
        <w:pStyle w:val="TextBody"/>
        <w:bidi w:val="0"/>
        <w:jc w:val="both"/>
        <w:rPr>
          <w:rFonts w:ascii="Outfit;sans-serif" w:hAnsi="Outfit;sans-serif"/>
          <w:color w:val="000000"/>
          <w:sz w:val="22"/>
        </w:rPr>
      </w:pPr>
      <w:r>
        <w:rPr>
          <w:rFonts w:ascii="Outfit;sans-serif" w:hAnsi="Outfit;sans-serif"/>
          <w:color w:val="000000"/>
          <w:sz w:val="22"/>
        </w:rPr>
        <w:t>Greg Schwartz</w:t>
      </w:r>
    </w:p>
    <w:p>
      <w:pPr>
        <w:pStyle w:val="TextBody"/>
        <w:bidi w:val="0"/>
        <w:jc w:val="center"/>
        <w:rPr>
          <w:rFonts w:ascii="Outfit;sans-serif" w:hAnsi="Outfit;sans-serif"/>
          <w:color w:val="000000"/>
          <w:sz w:val="22"/>
        </w:rPr>
      </w:pPr>
      <w:r>
        <w:rPr>
          <w:rFonts w:ascii="Outfit;sans-serif" w:hAnsi="Outfit;sans-serif"/>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6391" w:type="dxa"/>
        <w:jc w:val="left"/>
        <w:tblInd w:w="0" w:type="dxa"/>
        <w:tblLayout w:type="fixed"/>
        <w:tblCellMar>
          <w:top w:w="28" w:type="dxa"/>
          <w:left w:w="28" w:type="dxa"/>
          <w:bottom w:w="28" w:type="dxa"/>
          <w:right w:w="28" w:type="dxa"/>
        </w:tblCellMar>
      </w:tblPr>
      <w:tblGrid>
        <w:gridCol w:w="6391"/>
      </w:tblGrid>
      <w:tr>
        <w:trPr/>
        <w:tc>
          <w:tcPr>
            <w:tcW w:w="639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Audit Committee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color w:val="00002D"/>
          <w:sz w:val="32"/>
        </w:rPr>
      </w:pPr>
      <w:bookmarkStart w:id="16" w:name="audit_and_other_fees"/>
      <w:bookmarkEnd w:id="16"/>
      <w:r>
        <w:rPr>
          <w:rFonts w:ascii="Outfit;sans-serif" w:hAnsi="Outfit;sans-serif"/>
          <w:b/>
          <w:color w:val="00002D"/>
          <w:sz w:val="32"/>
        </w:rPr>
        <w:t>Audit and Other Fees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sets forth all fees paid by us for professional audit services and other services rendered by Ernst &amp; Young for the years ended December 31, 2025 and 2024:</w:t>
      </w:r>
    </w:p>
    <w:tbl>
      <w:tblPr>
        <w:tblW w:w="6046" w:type="dxa"/>
        <w:jc w:val="left"/>
        <w:tblInd w:w="0" w:type="dxa"/>
        <w:tblLayout w:type="fixed"/>
        <w:tblCellMar>
          <w:top w:w="28" w:type="dxa"/>
          <w:left w:w="28" w:type="dxa"/>
          <w:bottom w:w="28" w:type="dxa"/>
          <w:right w:w="28" w:type="dxa"/>
        </w:tblCellMar>
      </w:tblPr>
      <w:tblGrid>
        <w:gridCol w:w="2491"/>
        <w:gridCol w:w="256"/>
        <w:gridCol w:w="1306"/>
        <w:gridCol w:w="146"/>
        <w:gridCol w:w="256"/>
        <w:gridCol w:w="1591"/>
      </w:tblGrid>
      <w:tr>
        <w:trPr/>
        <w:tc>
          <w:tcPr>
            <w:tcW w:w="24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Nature of Service</w:t>
            </w:r>
          </w:p>
        </w:tc>
        <w:tc>
          <w:tcPr>
            <w:tcW w:w="1562"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2025 Fees</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1847" w:type="dxa"/>
            <w:gridSpan w:val="2"/>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2024 Fees</w:t>
            </w:r>
          </w:p>
        </w:tc>
      </w:tr>
      <w:tr>
        <w:trPr/>
        <w:tc>
          <w:tcPr>
            <w:tcW w:w="249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Audit Fees</w:t>
            </w:r>
            <w:r>
              <w:rPr>
                <w:rFonts w:ascii="Outfit;sans-serif" w:hAnsi="Outfit;sans-serif"/>
                <w:color w:val="000000"/>
                <w:sz w:val="15"/>
              </w:rPr>
              <w:t>(1)</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30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1,876,000</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59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2,543,000</w:t>
            </w:r>
          </w:p>
        </w:tc>
      </w:tr>
      <w:tr>
        <w:trPr/>
        <w:tc>
          <w:tcPr>
            <w:tcW w:w="24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Audit-Related Fees</w:t>
            </w:r>
          </w:p>
        </w:tc>
        <w:tc>
          <w:tcPr>
            <w:tcW w:w="256" w:type="dxa"/>
            <w:tcBorders/>
            <w:tcMar>
              <w:top w:w="0" w:type="dxa"/>
              <w:left w:w="0" w:type="dxa"/>
              <w:bottom w:w="0" w:type="dxa"/>
              <w:right w:w="0" w:type="dxa"/>
            </w:tcMar>
            <w:vAlign w:val="center"/>
          </w:tcPr>
          <w:p>
            <w:pPr>
              <w:pStyle w:val="TableContents"/>
              <w:bidi w:val="0"/>
              <w:spacing w:before="0" w:after="20"/>
              <w:jc w:val="right"/>
              <w:rPr/>
            </w:pPr>
            <w:r>
              <w:rPr/>
              <w:t> </w:t>
            </w:r>
          </w:p>
        </w:tc>
        <w:tc>
          <w:tcPr>
            <w:tcW w:w="130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256" w:type="dxa"/>
            <w:tcBorders/>
            <w:tcMar>
              <w:top w:w="0" w:type="dxa"/>
              <w:left w:w="0" w:type="dxa"/>
              <w:bottom w:w="0" w:type="dxa"/>
              <w:right w:w="0" w:type="dxa"/>
            </w:tcMar>
            <w:vAlign w:val="center"/>
          </w:tcPr>
          <w:p>
            <w:pPr>
              <w:pStyle w:val="TableContents"/>
              <w:bidi w:val="0"/>
              <w:spacing w:before="0" w:after="20"/>
              <w:jc w:val="right"/>
              <w:rPr/>
            </w:pPr>
            <w:r>
              <w:rPr/>
              <w:t> </w:t>
            </w:r>
          </w:p>
        </w:tc>
        <w:tc>
          <w:tcPr>
            <w:tcW w:w="1591" w:type="dxa"/>
            <w:tcBorders/>
            <w:tcMar>
              <w:top w:w="0" w:type="dxa"/>
              <w:left w:w="0" w:type="dxa"/>
              <w:bottom w:w="0" w:type="dxa"/>
              <w:right w:w="0" w:type="dxa"/>
            </w:tcMar>
            <w:vAlign w:val="center"/>
          </w:tcPr>
          <w:p>
            <w:pPr>
              <w:pStyle w:val="TableContents"/>
              <w:bidi w:val="0"/>
              <w:spacing w:before="0" w:after="20"/>
              <w:ind w:left="0" w:right="0" w:firstLine="240"/>
              <w:jc w:val="right"/>
              <w:rPr>
                <w:color w:val="000000"/>
              </w:rPr>
            </w:pPr>
            <w:r>
              <w:rPr>
                <w:color w:val="000000"/>
              </w:rPr>
              <w:t xml:space="preserve"> — </w:t>
            </w:r>
          </w:p>
        </w:tc>
      </w:tr>
      <w:tr>
        <w:trPr/>
        <w:tc>
          <w:tcPr>
            <w:tcW w:w="249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Tax Fees</w:t>
            </w:r>
            <w:r>
              <w:rPr>
                <w:rFonts w:ascii="Outfit;sans-serif" w:hAnsi="Outfit;sans-serif"/>
                <w:color w:val="000000"/>
                <w:sz w:val="15"/>
              </w:rPr>
              <w:t>(2)</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30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Outfit;sans-serif" w:hAnsi="Outfit;sans-serif"/>
                <w:color w:val="000000"/>
                <w:sz w:val="22"/>
              </w:rPr>
              <w:t>123,600</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59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color w:val="000000"/>
              </w:rPr>
            </w:pPr>
            <w:r>
              <w:rPr>
                <w:color w:val="000000"/>
              </w:rPr>
              <w:t> </w:t>
            </w:r>
            <w:r>
              <w:rPr>
                <w:rFonts w:ascii="Outfit;sans-serif" w:hAnsi="Outfit;sans-serif"/>
                <w:color w:val="000000"/>
                <w:sz w:val="22"/>
              </w:rPr>
              <w:t>303,985</w:t>
            </w:r>
          </w:p>
        </w:tc>
      </w:tr>
      <w:tr>
        <w:trPr/>
        <w:tc>
          <w:tcPr>
            <w:tcW w:w="24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All Other Fees</w:t>
            </w:r>
          </w:p>
        </w:tc>
        <w:tc>
          <w:tcPr>
            <w:tcW w:w="256" w:type="dxa"/>
            <w:tcBorders>
              <w:bottom w:val="single" w:sz="4" w:space="0" w:color="000000"/>
            </w:tcBorders>
            <w:tcMar>
              <w:top w:w="0" w:type="dxa"/>
              <w:left w:w="0" w:type="dxa"/>
              <w:right w:w="0" w:type="dxa"/>
            </w:tcMar>
            <w:vAlign w:val="center"/>
          </w:tcPr>
          <w:p>
            <w:pPr>
              <w:pStyle w:val="TableContents"/>
              <w:bidi w:val="0"/>
              <w:spacing w:before="0" w:after="20"/>
              <w:jc w:val="right"/>
              <w:rPr/>
            </w:pPr>
            <w:r>
              <w:rPr/>
              <w:t> </w:t>
            </w:r>
          </w:p>
        </w:tc>
        <w:tc>
          <w:tcPr>
            <w:tcW w:w="1306" w:type="dxa"/>
            <w:tcBorders>
              <w:bottom w:val="single" w:sz="4" w:space="0" w:color="000000"/>
            </w:tcBorders>
            <w:tcMar>
              <w:top w:w="0" w:type="dxa"/>
              <w:left w:w="0" w:type="dxa"/>
              <w:right w:w="0" w:type="dxa"/>
            </w:tcMar>
            <w:vAlign w:val="center"/>
          </w:tcPr>
          <w:p>
            <w:pPr>
              <w:pStyle w:val="TableContents"/>
              <w:bidi w:val="0"/>
              <w:spacing w:before="0" w:after="20"/>
              <w:jc w:val="right"/>
              <w:rPr>
                <w:color w:val="000000"/>
              </w:rPr>
            </w:pPr>
            <w:r>
              <w:rPr>
                <w:color w:val="000000"/>
              </w:rPr>
              <w:t xml:space="preserve"> — </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righ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0"/>
              <w:jc w:val="righ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right"/>
              <w:rPr>
                <w:color w:val="000000"/>
              </w:rPr>
            </w:pPr>
            <w:r>
              <w:rPr>
                <w:color w:val="000000"/>
              </w:rPr>
              <w:t xml:space="preserve"> — </w:t>
            </w:r>
          </w:p>
        </w:tc>
      </w:tr>
      <w:tr>
        <w:trPr/>
        <w:tc>
          <w:tcPr>
            <w:tcW w:w="249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Total:</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30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1,999,600</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5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59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2,846,985</w:t>
            </w:r>
          </w:p>
        </w:tc>
      </w:tr>
      <w:tr>
        <w:trPr/>
        <w:tc>
          <w:tcPr>
            <w:tcW w:w="2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pBdr>
                <w:top w:val="double" w:sz="6" w:space="1" w:color="000000"/>
              </w:pBdr>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pBdr>
                <w:top w:val="double" w:sz="6" w:space="1" w:color="000000"/>
              </w:pBdr>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pBdr>
                <w:top w:val="double" w:sz="6" w:space="1" w:color="000000"/>
              </w:pBdr>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rFonts w:ascii="sans-serif" w:hAnsi="sans-serif"/>
          <w:color w:val="000000"/>
          <w:sz w:val="20"/>
        </w:rPr>
      </w:pPr>
      <w:r>
        <w:rPr>
          <w:rFonts w:ascii="sans-serif" w:hAnsi="sans-serif"/>
          <w:color w:val="000000"/>
          <w:sz w:val="20"/>
        </w:rPr>
        <w:t>(1)</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Audit Fees consist of fees for professional services provided in connection with: the annual audit of our consolidated financial statements and internal control over financial reporting; the review of our quarterly financial statements; consultations on accounting matters directly related to the audit, our acquisitions, and the adoption of new accounting standards affecting future audit periods; and consents and assistance with and review of documents filed with the SEC, including services that are normally provided in connection with registration statements.</w:t>
      </w:r>
    </w:p>
    <w:p>
      <w:pPr>
        <w:pStyle w:val="TextBody"/>
        <w:bidi w:val="0"/>
        <w:spacing w:before="0" w:after="120"/>
        <w:jc w:val="both"/>
        <w:rPr>
          <w:rFonts w:ascii="sans-serif" w:hAnsi="sans-serif"/>
          <w:color w:val="000000"/>
          <w:sz w:val="20"/>
        </w:rPr>
      </w:pPr>
      <w:r>
        <w:rPr>
          <w:rFonts w:ascii="sans-serif" w:hAnsi="sans-serif"/>
          <w:color w:val="000000"/>
          <w:sz w:val="20"/>
        </w:rPr>
        <w:t>(2)</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Tax Fees consist of fees for professional services in connection with tax compliance, tax planning, and tax advice, including foreign tax return preparation and requests for rulings or technical advice from tax authorities.</w:t>
      </w:r>
    </w:p>
    <w:p>
      <w:pPr>
        <w:pStyle w:val="TextBody"/>
        <w:bidi w:val="0"/>
        <w:spacing w:before="0" w:after="120"/>
        <w:jc w:val="both"/>
        <w:rPr>
          <w:rFonts w:ascii="Outfit;sans-serif" w:hAnsi="Outfit;sans-serif"/>
          <w:b/>
          <w:color w:val="00002D"/>
          <w:sz w:val="32"/>
        </w:rPr>
      </w:pPr>
      <w:bookmarkStart w:id="17" w:name="preapproval_of_audit_services"/>
      <w:bookmarkEnd w:id="17"/>
      <w:r>
        <w:rPr>
          <w:rFonts w:ascii="Outfit;sans-serif" w:hAnsi="Outfit;sans-serif"/>
          <w:b/>
          <w:color w:val="00002D"/>
          <w:sz w:val="32"/>
        </w:rPr>
        <w:t>Pre-Approval of Audit and Non-Audit Services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Consistent with requirements of the SEC and the PCAOB regarding auditor independence, the Audit Committee is responsible for the appointment, compensation, and oversight of the work of our independent registered public accounting firm. In recognition of this responsibility, the Audit Committee as a whole, or through its Chair, pre-approves all audit and permissible non-audit services to be provided by our independent registered public accounting firm. The Audit Committee may delegate to one or more members of the Audit Committee the authority to pre-approve any such services, provided such pre-approval is reported to the Audit Committee at a subsequent meeting. The Audit Committee has delegated to the Chair of the Audit Committee the authority to pre-approve audit services (other than the annual audit engagement), audit-related services, tax services, and other permissible non-audit services, provided that the Chair reports any pre-approval decisions to the Audit Committee at its next scheduled meeting. For 2025 100% of all fees were approved by the Audit Committee.</w:t>
      </w:r>
    </w:p>
    <w:p>
      <w:pPr>
        <w:pStyle w:val="TextBody"/>
        <w:bidi w:val="0"/>
        <w:jc w:val="center"/>
        <w:rPr>
          <w:rFonts w:ascii="Outfit;sans-serif" w:hAnsi="Outfit;sans-serif"/>
          <w:color w:val="000000"/>
          <w:sz w:val="22"/>
        </w:rPr>
      </w:pPr>
      <w:r>
        <w:rPr>
          <w:rFonts w:ascii="Outfit;sans-serif" w:hAnsi="Outfit;sans-serif"/>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Times New Roman" w:hAnsi="Times New Roman"/>
          <w:sz w:val="20"/>
        </w:rPr>
      </w:pPr>
      <w:bookmarkStart w:id="18" w:name="executive_compensation_matters"/>
      <w:bookmarkEnd w:id="18"/>
      <w:r>
        <w:rPr>
          <w:rFonts w:ascii="Outfit;sans-serif" w:hAnsi="Outfit;sans-serif"/>
          <w:b/>
          <w:color w:val="00002D"/>
          <w:sz w:val="32"/>
        </w:rPr>
        <w:t>P</w:t>
      </w:r>
      <w:bookmarkStart w:id="19" w:name="proposal_3"/>
      <w:bookmarkEnd w:id="19"/>
      <w:r>
        <w:rPr>
          <w:rFonts w:ascii="Outfit;sans-serif" w:hAnsi="Outfit;sans-serif"/>
          <w:b/>
          <w:color w:val="00002D"/>
          <w:sz w:val="32"/>
        </w:rPr>
        <w:t>roposal 3 – Advisory Vote on Named Executive Officer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As required pursuant to Section 14A of the Exchange Act, the Board is asking that stockholders cast a non-binding, advisory vote “FOR” the following resolution at the Annual Meeting:</w:t>
      </w:r>
    </w:p>
    <w:p>
      <w:pPr>
        <w:pStyle w:val="TextBody"/>
        <w:bidi w:val="0"/>
        <w:spacing w:before="0" w:after="120"/>
        <w:jc w:val="both"/>
        <w:rPr>
          <w:rFonts w:ascii="Times New Roman" w:hAnsi="Times New Roman"/>
          <w:sz w:val="20"/>
        </w:rPr>
      </w:pPr>
      <w:r>
        <w:rPr>
          <w:rFonts w:ascii="Outfit;sans-serif" w:hAnsi="Outfit;sans-serif"/>
          <w:b/>
          <w:color w:val="000000"/>
          <w:sz w:val="22"/>
        </w:rPr>
        <w:t>RESOLVED</w:t>
      </w:r>
      <w:r>
        <w:rPr>
          <w:rFonts w:ascii="Outfit;sans-serif" w:hAnsi="Outfit;sans-serif"/>
          <w:color w:val="000000"/>
          <w:sz w:val="22"/>
        </w:rPr>
        <w:t xml:space="preserve">, that the compensation of the Company’s named executive officers for 2025 as disclosed in the </w:t>
      </w:r>
      <w:r>
        <w:rPr>
          <w:rFonts w:ascii="Outfit;sans-serif" w:hAnsi="Outfit;sans-serif"/>
          <w:i/>
          <w:color w:val="000000"/>
          <w:sz w:val="22"/>
        </w:rPr>
        <w:t xml:space="preserve">Compensation Discussion and Analysis </w:t>
      </w:r>
      <w:r>
        <w:rPr>
          <w:rFonts w:ascii="Outfit;sans-serif" w:hAnsi="Outfit;sans-serif"/>
          <w:color w:val="000000"/>
          <w:sz w:val="22"/>
        </w:rPr>
        <w:t>section, the accompanying compensation tables, and the related narrative disclosure in this proxy statement, is hereby approved.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Outfit;sans-serif" w:hAnsi="Outfit;sans-serif"/>
          <w:color w:val="000000"/>
          <w:sz w:val="22"/>
        </w:rPr>
        <w:t>This proposal, commonly known as a “Say-on-Pay” proposal, gives stockholders the opportunity to express their views on our named executive officers’ compensation. This vote is not intended to advise on any specific element of our compensation program, but rather on the overall compensation of our named executive officers and the philosophy, policies, and practices described in this proxy statement. Stockholders are urged to read the “</w:t>
      </w:r>
      <w:r>
        <w:rPr>
          <w:rFonts w:ascii="Outfit;sans-serif" w:hAnsi="Outfit;sans-serif"/>
          <w:i/>
          <w:color w:val="000000"/>
          <w:sz w:val="22"/>
        </w:rPr>
        <w:t>Compensation Discussion and Analysis”</w:t>
      </w:r>
      <w:r>
        <w:rPr>
          <w:rFonts w:ascii="Times New Roman" w:hAnsi="Times New Roman"/>
          <w:color w:val="000000"/>
          <w:sz w:val="20"/>
        </w:rPr>
        <w:t xml:space="preserve"> </w:t>
      </w:r>
      <w:r>
        <w:rPr>
          <w:rFonts w:ascii="Outfit;sans-serif" w:hAnsi="Outfit;sans-serif"/>
          <w:color w:val="000000"/>
          <w:sz w:val="22"/>
        </w:rPr>
        <w:t>section of this proxy statement, which describes in detail how our executive compensation policies and procedures operate and are designed to achieve our compensation objectives as well as the “</w:t>
      </w:r>
      <w:r>
        <w:rPr>
          <w:rFonts w:ascii="Outfit;sans-serif" w:hAnsi="Outfit;sans-serif"/>
          <w:i/>
          <w:color w:val="000000"/>
          <w:sz w:val="22"/>
        </w:rPr>
        <w:t>Summary Compensation Table”</w:t>
      </w:r>
      <w:r>
        <w:rPr>
          <w:rFonts w:ascii="Times New Roman" w:hAnsi="Times New Roman"/>
          <w:color w:val="000000"/>
          <w:sz w:val="20"/>
        </w:rPr>
        <w:t xml:space="preserve"> </w:t>
      </w:r>
      <w:r>
        <w:rPr>
          <w:rFonts w:ascii="Outfit;sans-serif" w:hAnsi="Outfit;sans-serif"/>
          <w:color w:val="000000"/>
          <w:sz w:val="22"/>
        </w:rPr>
        <w:t>and related compensation tables and narrative disclosure in this proxy statement, which provide detailed information on the compensation of our named executive officers.</w:t>
      </w:r>
    </w:p>
    <w:p>
      <w:pPr>
        <w:pStyle w:val="TextBody"/>
        <w:bidi w:val="0"/>
        <w:spacing w:before="0" w:after="120"/>
        <w:jc w:val="both"/>
        <w:rPr>
          <w:rFonts w:ascii="Times New Roman" w:hAnsi="Times New Roman"/>
          <w:sz w:val="20"/>
        </w:rPr>
      </w:pPr>
      <w:r>
        <w:rPr>
          <w:rFonts w:ascii="Outfit;sans-serif" w:hAnsi="Outfit;sans-serif"/>
          <w:color w:val="000000"/>
          <w:sz w:val="22"/>
        </w:rPr>
        <w:t>At our 2025 annual meeting of stockholders we continued to receive support for our executive compensation program with approximately 85% of the votes cast for approval of our annual Say-on-Pay proposal. The Compensation Committee viewed this as positive support for our executive compensation program and its alignment with long-term stockholder value creation and determined that the Company’s executive compensation program has been effective in implementing the Company’s stated compensation philosophy and objectives.</w:t>
      </w:r>
      <w:r>
        <w:rPr>
          <w:rFonts w:ascii="Times New Roman" w:hAnsi="Times New Roman"/>
          <w:color w:val="000000"/>
          <w:sz w:val="20"/>
        </w:rPr>
        <w:t xml:space="preserve"> </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While the vote on Proposal 3 at the Annual Meeting is non-binding and advisory, the Board and Compensation Committee value the opinions that our stockholders express in their votes and will review the voting results and take them into consideration when making future compensation decisions for our named executive officers.</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The Board has adopted a policy providing for annual approval of our Say-on-Pay proposal. Unless the Board modifies our policy, the next vote on our annual Say-on-Pay proposal will be held at our 2027 annual meeting of stockholders and the next advisory vote on the frequency of future votes on our annual Say-on-Pay proposal will be held at our 2031 annual meeting of stockholders.</w:t>
      </w:r>
    </w:p>
    <w:p>
      <w:pPr>
        <w:pStyle w:val="TextBody"/>
        <w:bidi w:val="0"/>
        <w:spacing w:before="0" w:after="240"/>
        <w:jc w:val="both"/>
        <w:rPr/>
      </w:pPr>
      <w:r>
        <w:rPr/>
        <w:t> </w:t>
      </w:r>
    </w:p>
    <w:tbl>
      <w:tblPr>
        <w:tblW w:w="9046" w:type="dxa"/>
        <w:jc w:val="left"/>
        <w:tblInd w:w="0" w:type="dxa"/>
        <w:tblLayout w:type="fixed"/>
        <w:tblCellMar>
          <w:top w:w="28" w:type="dxa"/>
          <w:left w:w="28" w:type="dxa"/>
          <w:bottom w:w="28" w:type="dxa"/>
          <w:right w:w="28" w:type="dxa"/>
        </w:tblCellMar>
      </w:tblPr>
      <w:tblGrid>
        <w:gridCol w:w="9046"/>
      </w:tblGrid>
      <w:tr>
        <w:trPr/>
        <w:tc>
          <w:tcPr>
            <w:tcW w:w="9046" w:type="dxa"/>
            <w:tcBorders/>
            <w:vAlign w:val="center"/>
          </w:tcPr>
          <w:p>
            <w:pPr>
              <w:pStyle w:val="TableContents"/>
              <w:bidi w:val="0"/>
              <w:spacing w:before="0" w:after="283"/>
              <w:jc w:val="left"/>
              <w:rPr>
                <w:sz w:val="4"/>
                <w:szCs w:val="4"/>
              </w:rPr>
            </w:pPr>
            <w:r>
              <w:rPr>
                <w:sz w:val="4"/>
                <w:szCs w:val="4"/>
              </w:rPr>
            </w:r>
          </w:p>
        </w:tc>
      </w:tr>
      <w:tr>
        <w:trPr/>
        <w:tc>
          <w:tcPr>
            <w:tcW w:w="9046" w:type="dxa"/>
            <w:tcBorders/>
            <w:shd w:fill="003A70" w:val="clear"/>
            <w:tcMar>
              <w:top w:w="0" w:type="dxa"/>
              <w:left w:w="0" w:type="dxa"/>
              <w:bottom w:w="0" w:type="dxa"/>
              <w:right w:w="0" w:type="dxa"/>
            </w:tcMar>
            <w:vAlign w:val="center"/>
          </w:tcPr>
          <w:p>
            <w:pPr>
              <w:pStyle w:val="TableContents"/>
              <w:bidi w:val="0"/>
              <w:spacing w:before="120" w:after="120"/>
              <w:jc w:val="center"/>
              <w:rPr>
                <w:rFonts w:ascii="Outfit;sans-serif" w:hAnsi="Outfit;sans-serif"/>
                <w:b/>
                <w:color w:val="FFFFFF"/>
                <w:sz w:val="24"/>
              </w:rPr>
            </w:pPr>
            <w:r>
              <w:rPr>
                <w:rFonts w:ascii="Outfit;sans-serif" w:hAnsi="Outfit;sans-serif"/>
                <w:b/>
                <w:color w:val="FFFFFF"/>
                <w:sz w:val="24"/>
              </w:rPr>
              <w:t>THE BOARD OF DIRECTORS UNANIMOUSLY RECOMMENDS A VOTE</w:t>
              <w:br/>
              <w:t xml:space="preserve"> “FOR” THE APPROVAL OF THE COMPENSATION OF </w:t>
              <w:br/>
              <w:t>OUR NAMED EXECUTIVE OFFICERS FOR 2025</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color w:val="00002D"/>
          <w:sz w:val="32"/>
        </w:rPr>
      </w:pPr>
      <w:bookmarkStart w:id="20" w:name="compensation_discussion_and_analysis"/>
      <w:bookmarkEnd w:id="20"/>
      <w:r>
        <w:rPr>
          <w:rFonts w:ascii="Outfit;sans-serif" w:hAnsi="Outfit;sans-serif"/>
          <w:b/>
          <w:color w:val="00002D"/>
          <w:sz w:val="32"/>
        </w:rPr>
        <w:t>Compensation Discussion and Analysis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This Compensation Discussion and Analysis describes our compensation strategy, philosophy, policies, and practices underlying our executive compensation program for 2025. It also provides information regarding the compensation that was earned by and awarded to our 2025 named executive officers listed below, whom we refer to collectively as our “named executive officers.”</w:t>
      </w:r>
    </w:p>
    <w:tbl>
      <w:tblPr>
        <w:tblW w:w="10205" w:type="dxa"/>
        <w:jc w:val="left"/>
        <w:tblInd w:w="0" w:type="dxa"/>
        <w:tblLayout w:type="fixed"/>
        <w:tblCellMar>
          <w:top w:w="28" w:type="dxa"/>
          <w:left w:w="28" w:type="dxa"/>
          <w:bottom w:w="28" w:type="dxa"/>
          <w:right w:w="28" w:type="dxa"/>
        </w:tblCellMar>
      </w:tblPr>
      <w:tblGrid>
        <w:gridCol w:w="2428"/>
        <w:gridCol w:w="146"/>
        <w:gridCol w:w="7631"/>
      </w:tblGrid>
      <w:tr>
        <w:trPr/>
        <w:tc>
          <w:tcPr>
            <w:tcW w:w="2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31" w:type="dxa"/>
            <w:tcBorders/>
            <w:vAlign w:val="center"/>
          </w:tcPr>
          <w:p>
            <w:pPr>
              <w:pStyle w:val="TableContents"/>
              <w:bidi w:val="0"/>
              <w:spacing w:before="0" w:after="283"/>
              <w:jc w:val="left"/>
              <w:rPr>
                <w:sz w:val="4"/>
                <w:szCs w:val="4"/>
              </w:rPr>
            </w:pPr>
            <w:r>
              <w:rPr>
                <w:sz w:val="4"/>
                <w:szCs w:val="4"/>
              </w:rPr>
            </w:r>
          </w:p>
        </w:tc>
      </w:tr>
      <w:tr>
        <w:trPr/>
        <w:tc>
          <w:tcPr>
            <w:tcW w:w="2428" w:type="dxa"/>
            <w:tcBorders/>
            <w:shd w:fill="E4F6FF"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2"/>
              </w:rPr>
            </w:pPr>
            <w:r>
              <w:rPr>
                <w:rFonts w:ascii="Outfit;sans-serif" w:hAnsi="Outfit;sans-serif"/>
                <w:b/>
                <w:color w:val="3465B0"/>
                <w:sz w:val="22"/>
              </w:rPr>
              <w:t>Named Executive Officer</w:t>
            </w:r>
          </w:p>
        </w:tc>
        <w:tc>
          <w:tcPr>
            <w:tcW w:w="146" w:type="dxa"/>
            <w:tcBorders/>
            <w:shd w:fill="E4F6FF" w:val="clear"/>
            <w:tcMar>
              <w:top w:w="0" w:type="dxa"/>
              <w:left w:w="0" w:type="dxa"/>
              <w:bottom w:w="0" w:type="dxa"/>
              <w:right w:w="0" w:type="dxa"/>
            </w:tcMar>
            <w:vAlign w:val="center"/>
          </w:tcPr>
          <w:p>
            <w:pPr>
              <w:pStyle w:val="TableContents"/>
              <w:bidi w:val="0"/>
              <w:spacing w:before="60" w:after="60"/>
              <w:jc w:val="both"/>
              <w:rPr/>
            </w:pPr>
            <w:r>
              <w:rPr/>
              <w:t> </w:t>
            </w:r>
          </w:p>
        </w:tc>
        <w:tc>
          <w:tcPr>
            <w:tcW w:w="7631" w:type="dxa"/>
            <w:tcBorders/>
            <w:shd w:fill="E4F6FF" w:val="clear"/>
            <w:tcMar>
              <w:top w:w="0" w:type="dxa"/>
              <w:left w:w="0" w:type="dxa"/>
              <w:bottom w:w="0" w:type="dxa"/>
              <w:right w:w="0" w:type="dxa"/>
            </w:tcMar>
            <w:vAlign w:val="center"/>
          </w:tcPr>
          <w:p>
            <w:pPr>
              <w:pStyle w:val="TableContents"/>
              <w:bidi w:val="0"/>
              <w:spacing w:before="60" w:after="60"/>
              <w:jc w:val="both"/>
              <w:rPr>
                <w:rFonts w:ascii="Outfit;sans-serif" w:hAnsi="Outfit;sans-serif"/>
                <w:b/>
                <w:color w:val="3465B0"/>
                <w:sz w:val="22"/>
              </w:rPr>
            </w:pPr>
            <w:r>
              <w:rPr>
                <w:rFonts w:ascii="Outfit;sans-serif" w:hAnsi="Outfit;sans-serif"/>
                <w:b/>
                <w:color w:val="3465B0"/>
                <w:sz w:val="22"/>
              </w:rPr>
              <w:t>Title</w:t>
            </w:r>
          </w:p>
        </w:tc>
      </w:tr>
      <w:tr>
        <w:trPr/>
        <w:tc>
          <w:tcPr>
            <w:tcW w:w="2428" w:type="dxa"/>
            <w:tcBorders>
              <w:bottom w:val="single" w:sz="8" w:space="0" w:color="D9E1EB"/>
            </w:tcBorders>
            <w:tcMar>
              <w:top w:w="0" w:type="dxa"/>
              <w:left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Jason Trevisan</w:t>
            </w:r>
          </w:p>
        </w:tc>
        <w:tc>
          <w:tcPr>
            <w:tcW w:w="146" w:type="dxa"/>
            <w:tcBorders>
              <w:bottom w:val="single" w:sz="8" w:space="0" w:color="D9E1EB"/>
            </w:tcBorders>
            <w:tcMar>
              <w:top w:w="0" w:type="dxa"/>
              <w:left w:w="0" w:type="dxa"/>
              <w:right w:w="0" w:type="dxa"/>
            </w:tcMar>
            <w:vAlign w:val="center"/>
          </w:tcPr>
          <w:p>
            <w:pPr>
              <w:pStyle w:val="TableContents"/>
              <w:bidi w:val="0"/>
              <w:spacing w:before="0" w:after="283"/>
              <w:jc w:val="both"/>
              <w:rPr/>
            </w:pPr>
            <w:r>
              <w:rPr/>
              <w:t> </w:t>
            </w:r>
          </w:p>
        </w:tc>
        <w:tc>
          <w:tcPr>
            <w:tcW w:w="7631" w:type="dxa"/>
            <w:tcBorders>
              <w:bottom w:val="single" w:sz="8" w:space="0" w:color="D9E1EB"/>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color w:val="000000"/>
                <w:sz w:val="22"/>
              </w:rPr>
              <w:t>Chief Executive Officer and interim Principal Financial Officer, Principal Accounting Officer, and Treasurer</w:t>
            </w:r>
            <w:r>
              <w:rPr>
                <w:rFonts w:ascii="Outfit;sans-serif" w:hAnsi="Outfit;sans-serif"/>
                <w:color w:val="000000"/>
                <w:sz w:val="15"/>
              </w:rPr>
              <w:t>(1)</w:t>
            </w:r>
          </w:p>
        </w:tc>
      </w:tr>
      <w:tr>
        <w:trPr/>
        <w:tc>
          <w:tcPr>
            <w:tcW w:w="2428" w:type="dxa"/>
            <w:tcBorders>
              <w:bottom w:val="single" w:sz="8" w:space="0" w:color="D9E1EB"/>
            </w:tcBorders>
            <w:tcMar>
              <w:top w:w="0" w:type="dxa"/>
              <w:left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Elisa Palazzo</w:t>
            </w:r>
          </w:p>
        </w:tc>
        <w:tc>
          <w:tcPr>
            <w:tcW w:w="146" w:type="dxa"/>
            <w:tcBorders>
              <w:bottom w:val="single" w:sz="8" w:space="0" w:color="D9E1EB"/>
            </w:tcBorders>
            <w:tcMar>
              <w:top w:w="0" w:type="dxa"/>
              <w:left w:w="0" w:type="dxa"/>
              <w:right w:w="0" w:type="dxa"/>
            </w:tcMar>
            <w:vAlign w:val="center"/>
          </w:tcPr>
          <w:p>
            <w:pPr>
              <w:pStyle w:val="TableContents"/>
              <w:bidi w:val="0"/>
              <w:spacing w:before="0" w:after="283"/>
              <w:jc w:val="both"/>
              <w:rPr/>
            </w:pPr>
            <w:r>
              <w:rPr/>
              <w:t> </w:t>
            </w:r>
          </w:p>
        </w:tc>
        <w:tc>
          <w:tcPr>
            <w:tcW w:w="7631" w:type="dxa"/>
            <w:tcBorders>
              <w:bottom w:val="single" w:sz="8" w:space="0" w:color="D9E1EB"/>
            </w:tcBorders>
            <w:tcMar>
              <w:top w:w="0" w:type="dxa"/>
              <w:left w:w="0" w:type="dxa"/>
              <w:right w:w="0" w:type="dxa"/>
            </w:tcMar>
            <w:vAlign w:val="center"/>
          </w:tcPr>
          <w:p>
            <w:pPr>
              <w:pStyle w:val="TableContents"/>
              <w:bidi w:val="0"/>
              <w:spacing w:before="0" w:after="283"/>
              <w:jc w:val="both"/>
              <w:rPr>
                <w:rFonts w:ascii="Times New Roman" w:hAnsi="Times New Roman"/>
                <w:sz w:val="22"/>
              </w:rPr>
            </w:pPr>
            <w:r>
              <w:rPr>
                <w:rFonts w:ascii="Outfit;sans-serif" w:hAnsi="Outfit;sans-serif"/>
                <w:color w:val="000000"/>
                <w:sz w:val="22"/>
              </w:rPr>
              <w:t>Former Chief Financial Officer and Treasurer</w:t>
            </w:r>
            <w:r>
              <w:rPr>
                <w:rFonts w:ascii="Outfit;sans-serif" w:hAnsi="Outfit;sans-serif"/>
                <w:color w:val="000000"/>
                <w:sz w:val="15"/>
              </w:rPr>
              <w:t>(1)</w:t>
            </w:r>
          </w:p>
        </w:tc>
      </w:tr>
      <w:tr>
        <w:trPr/>
        <w:tc>
          <w:tcPr>
            <w:tcW w:w="2428" w:type="dxa"/>
            <w:tcBorders>
              <w:bottom w:val="single" w:sz="8" w:space="0" w:color="D9E1EB"/>
            </w:tcBorders>
            <w:tcMar>
              <w:top w:w="0" w:type="dxa"/>
              <w:left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Langley Steinert</w:t>
            </w:r>
          </w:p>
        </w:tc>
        <w:tc>
          <w:tcPr>
            <w:tcW w:w="146" w:type="dxa"/>
            <w:tcBorders>
              <w:bottom w:val="single" w:sz="8" w:space="0" w:color="D9E1EB"/>
            </w:tcBorders>
            <w:tcMar>
              <w:top w:w="0" w:type="dxa"/>
              <w:left w:w="0" w:type="dxa"/>
              <w:right w:w="0" w:type="dxa"/>
            </w:tcMar>
            <w:vAlign w:val="center"/>
          </w:tcPr>
          <w:p>
            <w:pPr>
              <w:pStyle w:val="TableContents"/>
              <w:bidi w:val="0"/>
              <w:spacing w:before="0" w:after="283"/>
              <w:jc w:val="both"/>
              <w:rPr/>
            </w:pPr>
            <w:r>
              <w:rPr/>
              <w:t> </w:t>
            </w:r>
          </w:p>
        </w:tc>
        <w:tc>
          <w:tcPr>
            <w:tcW w:w="7631" w:type="dxa"/>
            <w:tcBorders>
              <w:bottom w:val="single" w:sz="8" w:space="0" w:color="D9E1EB"/>
            </w:tcBorders>
            <w:tcMar>
              <w:top w:w="0" w:type="dxa"/>
              <w:left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Founder, Executive Chair, and Chair of our Board of Directors</w:t>
            </w:r>
          </w:p>
        </w:tc>
      </w:tr>
      <w:tr>
        <w:trPr/>
        <w:tc>
          <w:tcPr>
            <w:tcW w:w="2428" w:type="dxa"/>
            <w:tcBorders>
              <w:bottom w:val="single" w:sz="8" w:space="0" w:color="D9E1EB"/>
            </w:tcBorders>
            <w:tcMar>
              <w:top w:w="0" w:type="dxa"/>
              <w:left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Matthew Quinn</w:t>
            </w:r>
          </w:p>
        </w:tc>
        <w:tc>
          <w:tcPr>
            <w:tcW w:w="146" w:type="dxa"/>
            <w:tcBorders>
              <w:bottom w:val="single" w:sz="8" w:space="0" w:color="D9E1EB"/>
            </w:tcBorders>
            <w:tcMar>
              <w:top w:w="0" w:type="dxa"/>
              <w:left w:w="0" w:type="dxa"/>
              <w:right w:w="0" w:type="dxa"/>
            </w:tcMar>
            <w:vAlign w:val="center"/>
          </w:tcPr>
          <w:p>
            <w:pPr>
              <w:pStyle w:val="TableContents"/>
              <w:bidi w:val="0"/>
              <w:spacing w:before="0" w:after="283"/>
              <w:jc w:val="both"/>
              <w:rPr/>
            </w:pPr>
            <w:r>
              <w:rPr/>
              <w:t> </w:t>
            </w:r>
          </w:p>
        </w:tc>
        <w:tc>
          <w:tcPr>
            <w:tcW w:w="7631" w:type="dxa"/>
            <w:tcBorders>
              <w:bottom w:val="single" w:sz="8" w:space="0" w:color="D9E1EB"/>
            </w:tcBorders>
            <w:tcMar>
              <w:top w:w="0" w:type="dxa"/>
              <w:left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Chief Technology Officer</w:t>
            </w:r>
          </w:p>
        </w:tc>
      </w:tr>
      <w:tr>
        <w:trPr/>
        <w:tc>
          <w:tcPr>
            <w:tcW w:w="2428" w:type="dxa"/>
            <w:tcBorders/>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Samuel Zales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631" w:type="dxa"/>
            <w:tcBorders/>
            <w:tcMar>
              <w:top w:w="0" w:type="dxa"/>
              <w:left w:w="0" w:type="dxa"/>
              <w:bottom w:w="0" w:type="dxa"/>
              <w:right w:w="0" w:type="dxa"/>
            </w:tcMar>
            <w:vAlign w:val="center"/>
          </w:tcPr>
          <w:p>
            <w:pPr>
              <w:pStyle w:val="TableContents"/>
              <w:bidi w:val="0"/>
              <w:spacing w:before="0" w:after="283"/>
              <w:jc w:val="both"/>
              <w:rPr>
                <w:rFonts w:ascii="Outfit;sans-serif" w:hAnsi="Outfit;sans-serif"/>
                <w:color w:val="000000"/>
                <w:sz w:val="22"/>
              </w:rPr>
            </w:pPr>
            <w:r>
              <w:rPr>
                <w:rFonts w:ascii="Outfit;sans-serif" w:hAnsi="Outfit;sans-serif"/>
                <w:color w:val="000000"/>
                <w:sz w:val="22"/>
              </w:rPr>
              <w:t>President and Chief Operating Officer</w:t>
            </w:r>
          </w:p>
        </w:tc>
      </w:tr>
    </w:tbl>
    <w:p>
      <w:pPr>
        <w:pStyle w:val="TextBody"/>
        <w:bidi w:val="0"/>
        <w:spacing w:before="120" w:after="120"/>
        <w:jc w:val="both"/>
        <w:rPr>
          <w:rFonts w:ascii="Calibri" w:hAnsi="Calibri"/>
          <w:color w:val="000000"/>
          <w:sz w:val="20"/>
        </w:rPr>
      </w:pPr>
      <w:r>
        <w:rPr>
          <w:rFonts w:ascii="Calibri" w:hAnsi="Calibri"/>
          <w:color w:val="000000"/>
          <w:sz w:val="20"/>
        </w:rPr>
        <w:t>(1)</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Mr. Trevisan was appointed our interim Principal Financial Officer, Principal Accounting Officer, and Treasurer effective March 7, 2025, in connection with Ms. Palazzo’s departure. Ms. Palazzo stepped down as our Chief Financial Officer and Treasurer effective March 7, 2025.</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Executive Summary</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Elements of 2025 Executive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2025 our executive compensation program was designed to achieve our executive compensation objectives, including attracting and retaining qualified executive officers and driving strong Company performance by aligning executive officer compensation with our stock performance and strategic and operational objectives, as further described below. The table below outlines each of the three principal elements of our executive compensation program for 2025:</w:t>
      </w:r>
    </w:p>
    <w:tbl>
      <w:tblPr>
        <w:tblW w:w="10205" w:type="dxa"/>
        <w:jc w:val="left"/>
        <w:tblInd w:w="0" w:type="dxa"/>
        <w:tblLayout w:type="fixed"/>
        <w:tblCellMar>
          <w:top w:w="28" w:type="dxa"/>
          <w:left w:w="28" w:type="dxa"/>
          <w:bottom w:w="28" w:type="dxa"/>
          <w:right w:w="28" w:type="dxa"/>
        </w:tblCellMar>
      </w:tblPr>
      <w:tblGrid>
        <w:gridCol w:w="792"/>
        <w:gridCol w:w="1421"/>
        <w:gridCol w:w="2115"/>
        <w:gridCol w:w="2896"/>
        <w:gridCol w:w="2981"/>
      </w:tblGrid>
      <w:tr>
        <w:trPr/>
        <w:tc>
          <w:tcPr>
            <w:tcW w:w="79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r>
      <w:tr>
        <w:trPr/>
        <w:tc>
          <w:tcPr>
            <w:tcW w:w="792" w:type="dxa"/>
            <w:tcBorders/>
            <w:shd w:fill="E4F6FF" w:val="clear"/>
            <w:tcMar>
              <w:top w:w="0" w:type="dxa"/>
              <w:left w:w="0" w:type="dxa"/>
              <w:bottom w:w="0" w:type="dxa"/>
              <w:right w:w="0" w:type="dxa"/>
            </w:tcMar>
            <w:vAlign w:val="center"/>
          </w:tcPr>
          <w:p>
            <w:pPr>
              <w:pStyle w:val="TableContents"/>
              <w:bidi w:val="0"/>
              <w:spacing w:before="60" w:after="60"/>
              <w:jc w:val="both"/>
              <w:rPr/>
            </w:pPr>
            <w:r>
              <w:rPr/>
              <w:t> </w:t>
            </w:r>
          </w:p>
        </w:tc>
        <w:tc>
          <w:tcPr>
            <w:tcW w:w="1421" w:type="dxa"/>
            <w:tcBorders/>
            <w:shd w:fill="E4F6FF" w:val="clear"/>
            <w:tcMar>
              <w:top w:w="0" w:type="dxa"/>
              <w:left w:w="0" w:type="dxa"/>
              <w:bottom w:w="0" w:type="dxa"/>
              <w:right w:w="0" w:type="dxa"/>
            </w:tcMar>
            <w:vAlign w:val="center"/>
          </w:tcPr>
          <w:p>
            <w:pPr>
              <w:pStyle w:val="TableContents"/>
              <w:bidi w:val="0"/>
              <w:spacing w:before="60" w:after="60"/>
              <w:jc w:val="center"/>
              <w:rPr>
                <w:rFonts w:ascii="Outfit;sans-serif" w:hAnsi="Outfit;sans-serif"/>
                <w:b/>
                <w:color w:val="3465B0"/>
                <w:sz w:val="18"/>
              </w:rPr>
            </w:pPr>
            <w:r>
              <w:rPr>
                <w:rFonts w:ascii="Outfit;sans-serif" w:hAnsi="Outfit;sans-serif"/>
                <w:b/>
                <w:color w:val="3465B0"/>
                <w:sz w:val="18"/>
              </w:rPr>
              <w:t>Component</w:t>
            </w:r>
          </w:p>
        </w:tc>
        <w:tc>
          <w:tcPr>
            <w:tcW w:w="2115" w:type="dxa"/>
            <w:tcBorders/>
            <w:shd w:fill="E4F6FF" w:val="clear"/>
            <w:tcMar>
              <w:top w:w="0" w:type="dxa"/>
              <w:left w:w="0" w:type="dxa"/>
              <w:bottom w:w="0" w:type="dxa"/>
              <w:right w:w="0" w:type="dxa"/>
            </w:tcMar>
            <w:vAlign w:val="center"/>
          </w:tcPr>
          <w:p>
            <w:pPr>
              <w:pStyle w:val="TableContents"/>
              <w:bidi w:val="0"/>
              <w:spacing w:before="60" w:after="60"/>
              <w:jc w:val="center"/>
              <w:rPr>
                <w:rFonts w:ascii="Outfit;sans-serif" w:hAnsi="Outfit;sans-serif"/>
                <w:b/>
                <w:color w:val="3465B0"/>
                <w:sz w:val="18"/>
              </w:rPr>
            </w:pPr>
            <w:r>
              <w:rPr>
                <w:rFonts w:ascii="Outfit;sans-serif" w:hAnsi="Outfit;sans-serif"/>
                <w:b/>
                <w:color w:val="3465B0"/>
                <w:sz w:val="18"/>
              </w:rPr>
              <w:t>Description</w:t>
            </w:r>
          </w:p>
        </w:tc>
        <w:tc>
          <w:tcPr>
            <w:tcW w:w="2896" w:type="dxa"/>
            <w:tcBorders/>
            <w:shd w:fill="E4F6FF" w:val="clear"/>
            <w:tcMar>
              <w:top w:w="0" w:type="dxa"/>
              <w:left w:w="0" w:type="dxa"/>
              <w:bottom w:w="0" w:type="dxa"/>
              <w:right w:w="0" w:type="dxa"/>
            </w:tcMar>
            <w:vAlign w:val="center"/>
          </w:tcPr>
          <w:p>
            <w:pPr>
              <w:pStyle w:val="TableContents"/>
              <w:bidi w:val="0"/>
              <w:spacing w:before="60" w:after="60"/>
              <w:jc w:val="center"/>
              <w:rPr>
                <w:rFonts w:ascii="Outfit;sans-serif" w:hAnsi="Outfit;sans-serif"/>
                <w:b/>
                <w:color w:val="3465B0"/>
                <w:sz w:val="18"/>
              </w:rPr>
            </w:pPr>
            <w:r>
              <w:rPr>
                <w:rFonts w:ascii="Outfit;sans-serif" w:hAnsi="Outfit;sans-serif"/>
                <w:b/>
                <w:color w:val="3465B0"/>
                <w:sz w:val="18"/>
              </w:rPr>
              <w:t>Performance Considerations</w:t>
            </w:r>
          </w:p>
        </w:tc>
        <w:tc>
          <w:tcPr>
            <w:tcW w:w="2981" w:type="dxa"/>
            <w:tcBorders/>
            <w:shd w:fill="E4F6FF" w:val="clear"/>
            <w:tcMar>
              <w:top w:w="0" w:type="dxa"/>
              <w:left w:w="0" w:type="dxa"/>
              <w:bottom w:w="0" w:type="dxa"/>
              <w:right w:w="0" w:type="dxa"/>
            </w:tcMar>
            <w:vAlign w:val="center"/>
          </w:tcPr>
          <w:p>
            <w:pPr>
              <w:pStyle w:val="TableContents"/>
              <w:bidi w:val="0"/>
              <w:spacing w:before="60" w:after="60"/>
              <w:ind w:left="0" w:right="0" w:firstLine="113"/>
              <w:jc w:val="center"/>
              <w:rPr>
                <w:rFonts w:ascii="Outfit;sans-serif" w:hAnsi="Outfit;sans-serif"/>
                <w:b/>
                <w:color w:val="3465B0"/>
                <w:sz w:val="18"/>
              </w:rPr>
            </w:pPr>
            <w:r>
              <w:rPr>
                <w:rFonts w:ascii="Outfit;sans-serif" w:hAnsi="Outfit;sans-serif"/>
                <w:b/>
                <w:color w:val="3465B0"/>
                <w:sz w:val="18"/>
              </w:rPr>
              <w:t>Pay Objectives</w:t>
            </w:r>
          </w:p>
        </w:tc>
      </w:tr>
      <w:tr>
        <w:trPr/>
        <w:tc>
          <w:tcPr>
            <w:tcW w:w="792" w:type="dxa"/>
            <w:tcBorders>
              <w:bottom w:val="single" w:sz="12" w:space="0" w:color="D9E1EB"/>
            </w:tcBorders>
            <w:shd w:fill="E4F6FF" w:val="clear"/>
            <w:tcMar>
              <w:top w:w="0" w:type="dxa"/>
              <w:left w:w="0" w:type="dxa"/>
              <w:right w:w="0" w:type="dxa"/>
            </w:tcMar>
            <w:vAlign w:val="center"/>
          </w:tcPr>
          <w:p>
            <w:pPr>
              <w:pStyle w:val="TableContents"/>
              <w:bidi w:val="0"/>
              <w:spacing w:before="120" w:after="120"/>
              <w:ind w:left="0" w:right="0" w:firstLine="113"/>
              <w:jc w:val="left"/>
              <w:rPr>
                <w:rFonts w:ascii="Outfit;sans-serif" w:hAnsi="Outfit;sans-serif"/>
                <w:b/>
                <w:color w:val="3465B0"/>
                <w:sz w:val="18"/>
              </w:rPr>
            </w:pPr>
            <w:r>
              <w:rPr>
                <w:rFonts w:ascii="Outfit;sans-serif" w:hAnsi="Outfit;sans-serif"/>
                <w:b/>
                <w:color w:val="3465B0"/>
                <w:sz w:val="18"/>
              </w:rPr>
              <w:t>Fixed</w:t>
            </w:r>
          </w:p>
        </w:tc>
        <w:tc>
          <w:tcPr>
            <w:tcW w:w="1421"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Base Salary</w:t>
            </w:r>
          </w:p>
        </w:tc>
        <w:tc>
          <w:tcPr>
            <w:tcW w:w="2115"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Pay for service in executive role</w:t>
            </w:r>
          </w:p>
        </w:tc>
        <w:tc>
          <w:tcPr>
            <w:tcW w:w="2896"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Based on the duties and responsibilities of the position, contributions to the Company’s performance, prior experience and skills, individual performance, and competitive market data</w:t>
            </w:r>
          </w:p>
        </w:tc>
        <w:tc>
          <w:tcPr>
            <w:tcW w:w="2981" w:type="dxa"/>
            <w:tcBorders>
              <w:bottom w:val="single" w:sz="12" w:space="0" w:color="D9E1EB"/>
            </w:tcBorders>
            <w:tcMar>
              <w:top w:w="0" w:type="dxa"/>
              <w:left w:w="0" w:type="dxa"/>
              <w:right w:w="0"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Provide a fixed level of compensation that is competitive with the external market and reflects each executive officer’s contributions, experience, skills, responsibilities, and potential to contribute to our future success</w:t>
            </w:r>
          </w:p>
        </w:tc>
      </w:tr>
      <w:tr>
        <w:trPr/>
        <w:tc>
          <w:tcPr>
            <w:tcW w:w="792" w:type="dxa"/>
            <w:tcBorders>
              <w:bottom w:val="single" w:sz="12" w:space="0" w:color="D9E1EB"/>
            </w:tcBorders>
            <w:tcMar>
              <w:top w:w="0" w:type="dxa"/>
              <w:left w:w="0" w:type="dxa"/>
              <w:right w:w="0" w:type="dxa"/>
            </w:tcMar>
            <w:vAlign w:val="center"/>
          </w:tcPr>
          <w:p>
            <w:pPr>
              <w:pStyle w:val="TableContents"/>
              <w:bidi w:val="0"/>
              <w:spacing w:before="0" w:after="283"/>
              <w:jc w:val="center"/>
              <w:rPr/>
            </w:pPr>
            <w:r>
              <w:rPr/>
              <w:t> </w:t>
            </w:r>
          </w:p>
        </w:tc>
        <w:tc>
          <w:tcPr>
            <w:tcW w:w="1421" w:type="dxa"/>
            <w:tcBorders>
              <w:bottom w:val="single" w:sz="12" w:space="0" w:color="D9E1EB"/>
            </w:tcBorders>
            <w:tcMar>
              <w:top w:w="0" w:type="dxa"/>
              <w:left w:w="0" w:type="dxa"/>
              <w:right w:w="0" w:type="dxa"/>
            </w:tcMar>
            <w:vAlign w:val="center"/>
          </w:tcPr>
          <w:p>
            <w:pPr>
              <w:pStyle w:val="TableContents"/>
              <w:bidi w:val="0"/>
              <w:spacing w:before="0" w:after="283"/>
              <w:jc w:val="center"/>
              <w:rPr/>
            </w:pPr>
            <w:r>
              <w:rPr/>
              <w:t> </w:t>
            </w:r>
          </w:p>
        </w:tc>
        <w:tc>
          <w:tcPr>
            <w:tcW w:w="2115" w:type="dxa"/>
            <w:tcBorders>
              <w:bottom w:val="single" w:sz="12" w:space="0" w:color="D9E1EB"/>
            </w:tcBorders>
            <w:tcMar>
              <w:top w:w="0" w:type="dxa"/>
              <w:left w:w="0" w:type="dxa"/>
              <w:right w:w="0" w:type="dxa"/>
            </w:tcMar>
            <w:vAlign w:val="center"/>
          </w:tcPr>
          <w:p>
            <w:pPr>
              <w:pStyle w:val="TableContents"/>
              <w:bidi w:val="0"/>
              <w:spacing w:before="0" w:after="283"/>
              <w:jc w:val="center"/>
              <w:rPr/>
            </w:pPr>
            <w:r>
              <w:rPr/>
              <w:t> </w:t>
            </w:r>
          </w:p>
        </w:tc>
        <w:tc>
          <w:tcPr>
            <w:tcW w:w="2896" w:type="dxa"/>
            <w:tcBorders>
              <w:bottom w:val="single" w:sz="12" w:space="0" w:color="D9E1EB"/>
            </w:tcBorders>
            <w:tcMar>
              <w:top w:w="0" w:type="dxa"/>
              <w:left w:w="0" w:type="dxa"/>
              <w:right w:w="0" w:type="dxa"/>
            </w:tcMar>
            <w:vAlign w:val="center"/>
          </w:tcPr>
          <w:p>
            <w:pPr>
              <w:pStyle w:val="TableContents"/>
              <w:bidi w:val="0"/>
              <w:spacing w:before="0" w:after="283"/>
              <w:jc w:val="center"/>
              <w:rPr/>
            </w:pPr>
            <w:r>
              <w:rPr/>
              <w:t> </w:t>
            </w:r>
          </w:p>
        </w:tc>
        <w:tc>
          <w:tcPr>
            <w:tcW w:w="2981" w:type="dxa"/>
            <w:tcBorders>
              <w:bottom w:val="single" w:sz="12" w:space="0" w:color="D9E1EB"/>
            </w:tcBorders>
            <w:tcMar>
              <w:top w:w="0" w:type="dxa"/>
              <w:left w:w="0" w:type="dxa"/>
              <w:right w:w="0" w:type="dxa"/>
            </w:tcMar>
            <w:vAlign w:val="center"/>
          </w:tcPr>
          <w:p>
            <w:pPr>
              <w:pStyle w:val="TableContents"/>
              <w:bidi w:val="0"/>
              <w:spacing w:before="0" w:after="283"/>
              <w:jc w:val="center"/>
              <w:rPr/>
            </w:pPr>
            <w:r>
              <w:rPr/>
              <w:t> </w:t>
            </w:r>
          </w:p>
        </w:tc>
      </w:tr>
      <w:tr>
        <w:trPr/>
        <w:tc>
          <w:tcPr>
            <w:tcW w:w="792" w:type="dxa"/>
            <w:vMerge w:val="restart"/>
            <w:tcBorders>
              <w:bottom w:val="single" w:sz="12" w:space="0" w:color="D9E1EB"/>
            </w:tcBorders>
            <w:shd w:fill="E4F6FF" w:val="clear"/>
            <w:tcMar>
              <w:top w:w="0" w:type="dxa"/>
              <w:left w:w="0" w:type="dxa"/>
              <w:right w:w="0" w:type="dxa"/>
            </w:tcMar>
            <w:vAlign w:val="center"/>
          </w:tcPr>
          <w:p>
            <w:pPr>
              <w:pStyle w:val="TableContents"/>
              <w:bidi w:val="0"/>
              <w:spacing w:before="120" w:after="120"/>
              <w:jc w:val="center"/>
              <w:rPr>
                <w:rFonts w:ascii="Outfit;sans-serif" w:hAnsi="Outfit;sans-serif"/>
                <w:b/>
                <w:color w:val="3465B0"/>
                <w:sz w:val="18"/>
              </w:rPr>
            </w:pPr>
            <w:r>
              <w:rPr>
                <w:rFonts w:ascii="Outfit;sans-serif" w:hAnsi="Outfit;sans-serif"/>
                <w:b/>
                <w:color w:val="3465B0"/>
                <w:sz w:val="18"/>
              </w:rPr>
              <w:t>At Risk</w:t>
            </w:r>
          </w:p>
        </w:tc>
        <w:tc>
          <w:tcPr>
            <w:tcW w:w="1421"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Annual Cash Incentive Awards</w:t>
            </w:r>
          </w:p>
        </w:tc>
        <w:tc>
          <w:tcPr>
            <w:tcW w:w="2115"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Short-term program providing executive officers with an annual cash bonus opportunity</w:t>
            </w:r>
          </w:p>
        </w:tc>
        <w:tc>
          <w:tcPr>
            <w:tcW w:w="2896"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Based on the Compensation Committee’s assessment of each executive officer’s achievement against Company and individual operational and strategic objectives</w:t>
            </w:r>
          </w:p>
        </w:tc>
        <w:tc>
          <w:tcPr>
            <w:tcW w:w="2981" w:type="dxa"/>
            <w:tcBorders>
              <w:bottom w:val="single" w:sz="12" w:space="0" w:color="D9E1EB"/>
            </w:tcBorders>
            <w:tcMar>
              <w:top w:w="0" w:type="dxa"/>
              <w:left w:w="0" w:type="dxa"/>
              <w:right w:w="0"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Align short-term compensation with the annual goals of the Company and motivates and rewards the achievement of annual Company and individual performance goals that support short- and long-term value creation</w:t>
            </w:r>
          </w:p>
        </w:tc>
      </w:tr>
      <w:tr>
        <w:trPr/>
        <w:tc>
          <w:tcPr>
            <w:tcW w:w="792" w:type="dxa"/>
            <w:vMerge w:val="continue"/>
            <w:tcBorders>
              <w:bottom w:val="single" w:sz="12" w:space="0" w:color="D9E1EB"/>
            </w:tcBorders>
            <w:shd w:fill="E4F6FF" w:val="clear"/>
            <w:tcMar>
              <w:top w:w="0" w:type="dxa"/>
              <w:left w:w="0" w:type="dxa"/>
              <w:right w:w="0" w:type="dxa"/>
            </w:tcMar>
            <w:vAlign w:val="center"/>
          </w:tcPr>
          <w:p>
            <w:pPr>
              <w:pStyle w:val="Normal"/>
              <w:bidi w:val="0"/>
              <w:jc w:val="left"/>
              <w:rPr/>
            </w:pPr>
            <w:r>
              <w:rPr/>
            </w:r>
          </w:p>
        </w:tc>
        <w:tc>
          <w:tcPr>
            <w:tcW w:w="1421"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Equity Awards</w:t>
            </w:r>
          </w:p>
        </w:tc>
        <w:tc>
          <w:tcPr>
            <w:tcW w:w="2115"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Long-term equity awards that provide for the delivery of shares of Class A common stock subject to continued employment</w:t>
            </w:r>
          </w:p>
        </w:tc>
        <w:tc>
          <w:tcPr>
            <w:tcW w:w="2896" w:type="dxa"/>
            <w:tcBorders>
              <w:bottom w:val="single" w:sz="12" w:space="0" w:color="D9E1EB"/>
              <w:right w:val="single" w:sz="12" w:space="0" w:color="D9E1EB"/>
            </w:tcBorders>
            <w:tcMar>
              <w:top w:w="0" w:type="dxa"/>
              <w:left w:w="0" w:type="dxa"/>
              <w:right w:w="108"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Alignment with stockholders through Company share price performance and the creation of stockholder value</w:t>
            </w:r>
          </w:p>
        </w:tc>
        <w:tc>
          <w:tcPr>
            <w:tcW w:w="2981" w:type="dxa"/>
            <w:tcBorders>
              <w:bottom w:val="single" w:sz="12" w:space="0" w:color="D9E1EB"/>
            </w:tcBorders>
            <w:tcMar>
              <w:top w:w="0" w:type="dxa"/>
              <w:left w:w="0" w:type="dxa"/>
              <w:right w:w="0" w:type="dxa"/>
            </w:tcMar>
            <w:vAlign w:val="center"/>
          </w:tcPr>
          <w:p>
            <w:pPr>
              <w:pStyle w:val="TableContents"/>
              <w:bidi w:val="0"/>
              <w:spacing w:before="60" w:after="60"/>
              <w:jc w:val="center"/>
              <w:rPr>
                <w:rFonts w:ascii="Outfit;sans-serif" w:hAnsi="Outfit;sans-serif"/>
                <w:color w:val="000000"/>
                <w:sz w:val="18"/>
              </w:rPr>
            </w:pPr>
            <w:r>
              <w:rPr>
                <w:rFonts w:ascii="Outfit;sans-serif" w:hAnsi="Outfit;sans-serif"/>
                <w:color w:val="000000"/>
                <w:sz w:val="18"/>
              </w:rPr>
              <w:t>Align executive officer’s interests with the long-term interests of our stockholders by linking the value of equity awards to increases in our stock price</w:t>
            </w:r>
          </w:p>
          <w:p>
            <w:pPr>
              <w:pStyle w:val="TableContents"/>
              <w:bidi w:val="0"/>
              <w:spacing w:before="0" w:after="60"/>
              <w:jc w:val="center"/>
              <w:rPr>
                <w:rFonts w:ascii="Outfit;sans-serif" w:hAnsi="Outfit;sans-serif"/>
                <w:color w:val="000000"/>
                <w:sz w:val="18"/>
              </w:rPr>
            </w:pPr>
            <w:r>
              <w:rPr>
                <w:rFonts w:ascii="Outfit;sans-serif" w:hAnsi="Outfit;sans-serif"/>
                <w:color w:val="000000"/>
                <w:sz w:val="18"/>
              </w:rPr>
              <w:t>Promotes executive retention and stock ownership and focuses executive officers on enhancing long-term stockholder value</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i/>
          <w:color w:val="00002D"/>
          <w:sz w:val="22"/>
        </w:rPr>
      </w:pPr>
      <w:r>
        <w:rPr>
          <w:rFonts w:ascii="Outfit;sans-serif" w:hAnsi="Outfit;sans-serif"/>
          <w:b/>
          <w:i/>
          <w:color w:val="00002D"/>
          <w:sz w:val="22"/>
        </w:rPr>
        <w:t>2025 Executive Compensation Policies and Practices</w:t>
      </w:r>
    </w:p>
    <w:p>
      <w:pPr>
        <w:pStyle w:val="TextBody"/>
        <w:bidi w:val="0"/>
        <w:spacing w:before="0" w:after="120"/>
        <w:jc w:val="both"/>
        <w:rPr>
          <w:rFonts w:ascii="Times New Roman" w:hAnsi="Times New Roman"/>
          <w:sz w:val="20"/>
        </w:rPr>
      </w:pPr>
      <w:r>
        <w:rPr>
          <w:rFonts w:ascii="Outfit;sans-serif" w:hAnsi="Outfit;sans-serif"/>
          <w:color w:val="000000"/>
          <w:sz w:val="22"/>
        </w:rPr>
        <w:t>We endeavor to maintain sound governance standards consistent with our executive compensation policies and practices. The Compensation Committee evaluates our executive compensation program on a regular basis to ensure consistency with our short-term and long-term goals given the dynamic nature of our business and the market in which we compete for executive talent.</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policies and practices were in effect during 2025:</w:t>
      </w:r>
    </w:p>
    <w:tbl>
      <w:tblPr>
        <w:tblW w:w="10205" w:type="dxa"/>
        <w:jc w:val="left"/>
        <w:tblInd w:w="0" w:type="dxa"/>
        <w:tblLayout w:type="fixed"/>
        <w:tblCellMar>
          <w:top w:w="28" w:type="dxa"/>
          <w:left w:w="28" w:type="dxa"/>
          <w:bottom w:w="28" w:type="dxa"/>
          <w:right w:w="28" w:type="dxa"/>
        </w:tblCellMar>
      </w:tblPr>
      <w:tblGrid>
        <w:gridCol w:w="491"/>
        <w:gridCol w:w="9714"/>
      </w:tblGrid>
      <w:tr>
        <w:trPr/>
        <w:tc>
          <w:tcPr>
            <w:tcW w:w="491" w:type="dxa"/>
            <w:tcBorders/>
            <w:vAlign w:val="center"/>
          </w:tcPr>
          <w:p>
            <w:pPr>
              <w:pStyle w:val="TableContents"/>
              <w:bidi w:val="0"/>
              <w:spacing w:before="0" w:after="283"/>
              <w:jc w:val="left"/>
              <w:rPr>
                <w:sz w:val="4"/>
                <w:szCs w:val="4"/>
              </w:rPr>
            </w:pPr>
            <w:r>
              <w:rPr>
                <w:sz w:val="4"/>
                <w:szCs w:val="4"/>
              </w:rPr>
            </w:r>
          </w:p>
        </w:tc>
        <w:tc>
          <w:tcPr>
            <w:tcW w:w="971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E4F5FE" w:val="clear"/>
            <w:tcMar>
              <w:top w:w="0" w:type="dxa"/>
              <w:left w:w="0" w:type="dxa"/>
              <w:bottom w:w="0" w:type="dxa"/>
              <w:right w:w="0" w:type="dxa"/>
            </w:tcMar>
            <w:vAlign w:val="center"/>
          </w:tcPr>
          <w:p>
            <w:pPr>
              <w:pStyle w:val="TableContents"/>
              <w:bidi w:val="0"/>
              <w:spacing w:before="120" w:after="120"/>
              <w:jc w:val="center"/>
              <w:rPr>
                <w:rFonts w:ascii="Outfit;sans-serif" w:hAnsi="Outfit;sans-serif"/>
                <w:b/>
                <w:color w:val="3465B0"/>
                <w:sz w:val="24"/>
              </w:rPr>
            </w:pPr>
            <w:r>
              <w:rPr>
                <w:rFonts w:ascii="Outfit;sans-serif" w:hAnsi="Outfit;sans-serif"/>
                <w:b/>
                <w:color w:val="3465B0"/>
                <w:sz w:val="24"/>
              </w:rPr>
              <w:t>What We Do</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Annual Executive Compensation Review:</w:t>
            </w:r>
            <w:r>
              <w:rPr>
                <w:rFonts w:ascii="Times New Roman" w:hAnsi="Times New Roman"/>
                <w:color w:val="3465B0"/>
                <w:sz w:val="22"/>
              </w:rPr>
              <w:t xml:space="preserve"> </w:t>
            </w:r>
            <w:r>
              <w:rPr>
                <w:rFonts w:ascii="Outfit;sans-serif" w:hAnsi="Outfit;sans-serif"/>
                <w:color w:val="000000"/>
                <w:sz w:val="22"/>
              </w:rPr>
              <w:t>The Compensation Committee annually reviews and approves our compensation strategy, including a review of our compensation peer group used for comparative purposes.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Compensation Risk Oversight:</w:t>
            </w:r>
            <w:r>
              <w:rPr>
                <w:rFonts w:ascii="Times New Roman" w:hAnsi="Times New Roman"/>
                <w:color w:val="3465B0"/>
                <w:sz w:val="22"/>
              </w:rPr>
              <w:t xml:space="preserve"> </w:t>
            </w:r>
            <w:r>
              <w:rPr>
                <w:rFonts w:ascii="Outfit;sans-serif" w:hAnsi="Outfit;sans-serif"/>
                <w:color w:val="000000"/>
                <w:sz w:val="22"/>
              </w:rPr>
              <w:t>The Compensation Committee reviews the extent to which our incentive compensation programs and policies may encourage excessive risk-taking. At least annually, the Compensation Committee also reviews the relationship between our risk management policies and practices and compensation, and evaluates alternative compensation policies and practices that could mitigate any such risk.</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Independent Compensation Advisor: </w:t>
            </w:r>
            <w:r>
              <w:rPr>
                <w:rFonts w:ascii="Outfit;sans-serif" w:hAnsi="Outfit;sans-serif"/>
                <w:color w:val="000000"/>
                <w:sz w:val="22"/>
              </w:rPr>
              <w:t>Pursuant to its charter, the Compensation Committee has authority to engage outside compensation consultants or other advisors to assist the Compensation Committee in carrying out its duties. With respect to 2025 executive compensation, the Compensation Committee engaged Compensia, Inc. (Compensia), a national compensation consulting firm, as its independent compensation consultant.</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Incentive Compensation at Risk: </w:t>
            </w:r>
            <w:r>
              <w:rPr>
                <w:rFonts w:ascii="Outfit;sans-serif" w:hAnsi="Outfit;sans-serif"/>
                <w:color w:val="000000"/>
                <w:sz w:val="22"/>
              </w:rPr>
              <w:t>Our executive compensation program is designed so that a significant portion of the cash incentive compensation is “at risk” based on corporate performance, and all of their RSU awards that were granted or otherwise outstanding during 2025 were “at risk” based on continued employment through their applicable vesting dates.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Equity-Based Compensation: </w:t>
            </w:r>
            <w:r>
              <w:rPr>
                <w:rFonts w:ascii="Outfit;sans-serif" w:hAnsi="Outfit;sans-serif"/>
                <w:color w:val="000000"/>
                <w:sz w:val="22"/>
              </w:rPr>
              <w:t>A significant portion of the target total direct compensation we pay to our executive officers is in the form of equity-based compensation, which we believe aligns the interests of our executive officers and stockholders.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pPr>
            <w:r>
              <w:rPr>
                <w:color w:val="3465B0"/>
              </w:rPr>
              <w:t>“</w:t>
            </w:r>
            <w:r>
              <w:rPr>
                <w:rFonts w:ascii="Outfit;sans-serif" w:hAnsi="Outfit;sans-serif"/>
                <w:b/>
                <w:color w:val="3465B0"/>
                <w:sz w:val="22"/>
              </w:rPr>
              <w:t xml:space="preserve">Double Trigger” Change-of-Control Provisions in Executive Equity Awards: </w:t>
            </w:r>
            <w:r>
              <w:rPr>
                <w:rFonts w:ascii="Outfit;sans-serif" w:hAnsi="Outfit;sans-serif"/>
                <w:color w:val="000000"/>
                <w:sz w:val="22"/>
              </w:rPr>
              <w:t>Our current forms of time-based RSU and non-qualified stock option (NQSO) award agreements with our executive officers provide for acceleration of unvested RSUs or NQSOs, as applicable, under such award solely in the event of a qualifying termination of employment within 12 months following a Change of Control (as defined in the 2017 Plan). None of our executive officers is currently entitled to “single trigger” acceleration of vesting of any currently outstanding equity awards.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Health and Welfare Benefits: </w:t>
            </w:r>
            <w:r>
              <w:rPr>
                <w:rFonts w:ascii="Outfit;sans-serif" w:hAnsi="Outfit;sans-serif"/>
                <w:color w:val="000000"/>
                <w:sz w:val="22"/>
              </w:rPr>
              <w:t>Our executive officers participate in broad-based Company-sponsored health and welfare benefits programs on the same basis as our other full-time, salaried employees.</w:t>
            </w:r>
          </w:p>
        </w:tc>
      </w:tr>
      <w:tr>
        <w:trPr/>
        <w:tc>
          <w:tcPr>
            <w:tcW w:w="491"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47650" cy="2476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47650" cy="247650"/>
                          </a:xfrm>
                          <a:prstGeom prst="rect">
                            <a:avLst/>
                          </a:prstGeom>
                        </pic:spPr>
                      </pic:pic>
                    </a:graphicData>
                  </a:graphic>
                </wp:inline>
              </w:drawing>
            </w:r>
          </w:p>
        </w:tc>
        <w:tc>
          <w:tcPr>
            <w:tcW w:w="9714"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Compensation Clawback Policy: </w:t>
            </w:r>
            <w:r>
              <w:rPr>
                <w:rFonts w:ascii="Outfit;sans-serif" w:hAnsi="Outfit;sans-serif"/>
                <w:color w:val="000000"/>
                <w:sz w:val="22"/>
              </w:rPr>
              <w:t>We maintain the Clawback Policy that complies with Exchange Act Rule 10D-1 and the applicable Nasdaq listing standards and provides for the recoupment of certain incentive-based compensation from covered individuals, including executive officers, in connection with certain triggering events.</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6"/>
        <w:gridCol w:w="9729"/>
      </w:tblGrid>
      <w:tr>
        <w:trPr/>
        <w:tc>
          <w:tcPr>
            <w:tcW w:w="476" w:type="dxa"/>
            <w:tcBorders/>
            <w:vAlign w:val="center"/>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E4F6FF" w:val="clear"/>
            <w:tcMar>
              <w:top w:w="0" w:type="dxa"/>
              <w:left w:w="0" w:type="dxa"/>
              <w:bottom w:w="0" w:type="dxa"/>
              <w:right w:w="0" w:type="dxa"/>
            </w:tcMar>
            <w:vAlign w:val="center"/>
          </w:tcPr>
          <w:p>
            <w:pPr>
              <w:pStyle w:val="TableContents"/>
              <w:bidi w:val="0"/>
              <w:spacing w:before="120" w:after="120"/>
              <w:jc w:val="center"/>
              <w:rPr>
                <w:rFonts w:ascii="Outfit;sans-serif" w:hAnsi="Outfit;sans-serif"/>
                <w:b/>
                <w:color w:val="3465B0"/>
                <w:sz w:val="24"/>
              </w:rPr>
            </w:pPr>
            <w:r>
              <w:rPr>
                <w:rFonts w:ascii="Outfit;sans-serif" w:hAnsi="Outfit;sans-serif"/>
                <w:b/>
                <w:color w:val="3465B0"/>
                <w:sz w:val="24"/>
              </w:rPr>
              <w:t>What We Don’t Do</w:t>
            </w:r>
          </w:p>
        </w:tc>
      </w:tr>
      <w:tr>
        <w:trPr/>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38125" cy="2381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238125" cy="238125"/>
                          </a:xfrm>
                          <a:prstGeom prst="rect">
                            <a:avLst/>
                          </a:prstGeom>
                        </pic:spPr>
                      </pic:pic>
                    </a:graphicData>
                  </a:graphic>
                </wp:inline>
              </w:drawing>
            </w:r>
          </w:p>
        </w:tc>
        <w:tc>
          <w:tcPr>
            <w:tcW w:w="9729"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No Retirement Plans Other than Standard Plans Offered to All Employees: </w:t>
            </w:r>
            <w:r>
              <w:rPr>
                <w:rFonts w:ascii="Outfit;sans-serif" w:hAnsi="Outfit;sans-serif"/>
                <w:color w:val="000000"/>
                <w:sz w:val="22"/>
              </w:rPr>
              <w:t>We do not currently offer, nor do we have plans to provide, pension arrangements, retirement plans, or nonqualified deferred compensation plans or arrangements to our executive officers.</w:t>
            </w:r>
          </w:p>
        </w:tc>
      </w:tr>
      <w:tr>
        <w:trPr/>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38125" cy="2381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238125" cy="238125"/>
                          </a:xfrm>
                          <a:prstGeom prst="rect">
                            <a:avLst/>
                          </a:prstGeom>
                        </pic:spPr>
                      </pic:pic>
                    </a:graphicData>
                  </a:graphic>
                </wp:inline>
              </w:drawing>
            </w:r>
          </w:p>
        </w:tc>
        <w:tc>
          <w:tcPr>
            <w:tcW w:w="9729"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Limited Perquisites: </w:t>
            </w:r>
            <w:r>
              <w:rPr>
                <w:rFonts w:ascii="Outfit;sans-serif" w:hAnsi="Outfit;sans-serif"/>
                <w:color w:val="000000"/>
                <w:sz w:val="22"/>
              </w:rPr>
              <w:t xml:space="preserve">Except as described below in </w:t>
            </w:r>
            <w:r>
              <w:rPr>
                <w:rFonts w:ascii="Times New Roman" w:hAnsi="Times New Roman"/>
                <w:color w:val="000000"/>
                <w:sz w:val="22"/>
              </w:rPr>
              <w:t>“</w:t>
            </w:r>
            <w:r>
              <w:rPr>
                <w:rFonts w:ascii="Outfit;sans-serif" w:hAnsi="Outfit;sans-serif"/>
                <w:i/>
                <w:color w:val="000000"/>
                <w:sz w:val="22"/>
              </w:rPr>
              <w:t>Perquisites and Other Personal Benefits,”</w:t>
            </w:r>
            <w:r>
              <w:rPr>
                <w:rFonts w:ascii="Times New Roman" w:hAnsi="Times New Roman"/>
                <w:color w:val="000000"/>
                <w:sz w:val="22"/>
              </w:rPr>
              <w:t> </w:t>
            </w:r>
            <w:r>
              <w:rPr>
                <w:rFonts w:ascii="Outfit;sans-serif" w:hAnsi="Outfit;sans-serif"/>
                <w:color w:val="000000"/>
                <w:sz w:val="22"/>
              </w:rPr>
              <w:t>we do not provide significant perquisites or other personal benefits to our executive officers, except as generally made available to our other full-time employees.</w:t>
            </w:r>
          </w:p>
        </w:tc>
      </w:tr>
      <w:tr>
        <w:trPr/>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38125" cy="2381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238125" cy="238125"/>
                          </a:xfrm>
                          <a:prstGeom prst="rect">
                            <a:avLst/>
                          </a:prstGeom>
                        </pic:spPr>
                      </pic:pic>
                    </a:graphicData>
                  </a:graphic>
                </wp:inline>
              </w:drawing>
            </w:r>
          </w:p>
        </w:tc>
        <w:tc>
          <w:tcPr>
            <w:tcW w:w="9729"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No Change-of-Control-Related Tax “Gross-Ups”: </w:t>
            </w:r>
            <w:r>
              <w:rPr>
                <w:rFonts w:ascii="Outfit;sans-serif" w:hAnsi="Outfit;sans-serif"/>
                <w:color w:val="000000"/>
                <w:sz w:val="22"/>
              </w:rPr>
              <w:t>We do not provide any tax reimbursements or “gross-ups” that may arise due to the application of Sections 280G and 4999 of the Internal Revenue Code of 1986, as amended (the Code), to our executive officers.</w:t>
            </w:r>
          </w:p>
        </w:tc>
      </w:tr>
      <w:tr>
        <w:trPr/>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38125" cy="2381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238125" cy="238125"/>
                          </a:xfrm>
                          <a:prstGeom prst="rect">
                            <a:avLst/>
                          </a:prstGeom>
                        </pic:spPr>
                      </pic:pic>
                    </a:graphicData>
                  </a:graphic>
                </wp:inline>
              </w:drawing>
            </w:r>
          </w:p>
        </w:tc>
        <w:tc>
          <w:tcPr>
            <w:tcW w:w="9729"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No Cash Severance Payments for Executives Arising Solely as a Result of a Change-of-Control: </w:t>
            </w:r>
            <w:r>
              <w:rPr>
                <w:rFonts w:ascii="Outfit;sans-serif" w:hAnsi="Outfit;sans-serif"/>
                <w:color w:val="000000"/>
                <w:sz w:val="22"/>
              </w:rPr>
              <w:t>Our current agreements with our executive officers do not provide for any cash payments or other benefits that arise solely as a result of a change-of-control of the Company.</w:t>
            </w:r>
          </w:p>
        </w:tc>
      </w:tr>
      <w:tr>
        <w:trPr/>
        <w:tc>
          <w:tcPr>
            <w:tcW w:w="476" w:type="dxa"/>
            <w:tcBorders/>
            <w:tcMar>
              <w:top w:w="0" w:type="dxa"/>
              <w:left w:w="0" w:type="dxa"/>
              <w:bottom w:w="0" w:type="dxa"/>
              <w:right w:w="0" w:type="dxa"/>
            </w:tcMar>
            <w:vAlign w:val="center"/>
          </w:tcPr>
          <w:p>
            <w:pPr>
              <w:pStyle w:val="TableContents"/>
              <w:bidi w:val="0"/>
              <w:spacing w:before="60" w:after="60"/>
              <w:jc w:val="center"/>
              <w:rPr/>
            </w:pPr>
            <w:r>
              <w:rPr/>
              <w:drawing>
                <wp:inline distT="0" distB="0" distL="0" distR="0">
                  <wp:extent cx="238125" cy="2381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238125" cy="238125"/>
                          </a:xfrm>
                          <a:prstGeom prst="rect">
                            <a:avLst/>
                          </a:prstGeom>
                        </pic:spPr>
                      </pic:pic>
                    </a:graphicData>
                  </a:graphic>
                </wp:inline>
              </w:drawing>
            </w:r>
          </w:p>
        </w:tc>
        <w:tc>
          <w:tcPr>
            <w:tcW w:w="9729"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sz w:val="22"/>
              </w:rPr>
            </w:pPr>
            <w:r>
              <w:rPr>
                <w:rFonts w:ascii="Outfit;sans-serif" w:hAnsi="Outfit;sans-serif"/>
                <w:b/>
                <w:color w:val="3465B0"/>
                <w:sz w:val="22"/>
              </w:rPr>
              <w:t xml:space="preserve">Hedging and Pledging Prohibitions: </w:t>
            </w:r>
            <w:r>
              <w:rPr>
                <w:rFonts w:ascii="Outfit;sans-serif" w:hAnsi="Outfit;sans-serif"/>
                <w:color w:val="000000"/>
                <w:sz w:val="22"/>
              </w:rPr>
              <w:t>Our Insider Trading Policy prohibits our directors, employees, and certain other persons as may be designated by the administrator of such policy from (i) entering into hedging or monetization transactions or similar arrangements with respect to our securities and (ii) holding our securities in a margin account or pledging our securities as collateral for a loan, in each instance without prior approval from the policy administrator.</w:t>
            </w:r>
          </w:p>
        </w:tc>
      </w:tr>
    </w:tbl>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2025 Stockholder Advisory Vote on Named Executive Officer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At our 2025 annual meeting of stockholders we continued to receive support for our executive compensation program with approximately 85% of the votes cast for approval of our annual Say-on-Pay proposal. The Compensation Committee viewed this as positive support for our executive compensation program and its alignment with long-term stockholder value creation and determined that the Company’s executive compensation program has been effective in implementing the Company’s stated compensation philosophy and objectives. Although these results were advisory and not binding on the Company, the Board, or the Compensation Committee, we value the opinions of our stockholders and have taken, and commit to continue to take, the results of the Say-on-Pay vote into account when making subsequent decisions regarding the compensation of our executive officers.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Compensation Philosophy and Objectives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believe in providing a competitive total compensation package to our executive officers through a combination of annual base salary, annual cash incentive award opportunities, long-term incentive compensation opportunities in the form of equity awards, and broad-based health and welfare benefit plans. Our executive compensation program is designed to achieve the following objectives: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attract, motivate, and retain executive officers of outstanding ability and potential;</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reward the achievement of key performance measures; and</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ensure that executive compensation is meaningfully related to the creation of stockholder value.</w:t>
      </w:r>
    </w:p>
    <w:p>
      <w:pPr>
        <w:pStyle w:val="TextBody"/>
        <w:bidi w:val="0"/>
        <w:spacing w:before="0" w:after="120"/>
        <w:jc w:val="both"/>
        <w:rPr>
          <w:rFonts w:ascii="Times New Roman" w:hAnsi="Times New Roman"/>
          <w:sz w:val="20"/>
        </w:rPr>
      </w:pPr>
      <w:r>
        <w:rPr>
          <w:rFonts w:ascii="Outfit;sans-serif" w:hAnsi="Outfit;sans-serif"/>
          <w:color w:val="000000"/>
          <w:sz w:val="22"/>
        </w:rPr>
        <w:t>We believe that our executive compensation program should generally include short-term and long-term elements, including cash and equity compensation, and should reward consistent performance that meets or exceeds expectations. We evaluate the compensation provided to our executive officers to ensure it remains competitive relative to compensation paid by companies of similar size and geographic location operating in our</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industry, taking into account our relative performance, our financial and strategic objectives, and the performance of each individual executive officer.</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Executive Compensation Design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arrangements for our executive officers consist of annual base salary, annual cash incentive award opportunities, long-term incentive compensation opportunities in the form of equity awards, and broad-based health and welfare benefit plans. To ensure alignment between the interests of our stockholders and those of our executive officers, a significant majority of executive compensation paid to our executive officers consists of equity-based compensation. We believe that an emphasis on equity grants serves to encourage our executive officers to focus on long-term stockholder value creation.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Historically and during 2025 our principal equity incentive vehicle was in the form of time-based RSU awards that may be settled in shares of our Class A common stock as they are earned. We believe that time-based RSU awards offer our executive officers a valuable long-term incentive that aligns their interests with the long-term interests of our stockholders. Going forward, as we deem appropriate, we expect to continue to offer time-based RSU awards; however, we may also introduce other forms of stock-based compensation awards into our executive compensation program to provide our executive officers with various types of equity incentives that further this objective.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also offer cash compensation in the form of annual base salaries and annual cash incentive award opportunities. Typically, we have structured our annual cash incentive award opportunities to focus on the achievement of specific short-term financial, strategic, and operational objectives that will further our longer-term growth objectives.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have not adopted any formal policies or guidelines for allocating compensation between current and long-term compensation, between cash and non-cash compensation, or among different forms of non-cash compensation. Instead, the Compensation Committee reviews each element of executive compensation separately and also takes into consideration the value of each executive officer’s target total direct compensation opportunity (the sum of annual base salary, annual cash incentive award opportunity, and equity awards) as a whole, and its relative size in comparison to our other executive officers. The Compensation Committee also considers amounts realizable from prior compensation awarded to each executive officer, including equity that is nearly- or fully-vested, when setting each individual’s target total direct compensation opportunity for the year.</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reviews our executive compensation program at least annually. As part of this review process, the Compensation Committee considers whether our overall compensation philosophy is aligned with the interests of our stockholders while considering the compensation levels needed to ensure that our executive compensation program remains reasonable and competitive. In addition, the Compensation Committee considers our ability to achieve our retention objectives and the potential cost of replacing our executive officers. From time to time the Compensation Committee may determine that it is in the best interests of the Company and our stockholders to modify, amend, or otherwise adjust previous compensation awards.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Compensation-Setting Process</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Role of the Compensation Committee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is responsible for reviewing and approving the compensation of our executive officers, subject to any approval of the Board that the Compensation Committee determines to be desirable or is required by applicable law or Nasdaq listing standards. Specifically, the Compensation Committee oversees our compensation and benefit plans and policies, administers our equity compensation plans, and reviews and approves (or makes recommendations to the Board regarding) the compensation of our executive officers.</w:t>
      </w:r>
    </w:p>
    <w:p>
      <w:pPr>
        <w:pStyle w:val="TextBody"/>
        <w:bidi w:val="0"/>
        <w:jc w:val="center"/>
        <w:rPr>
          <w:rFonts w:ascii="Outfit;sans-serif" w:hAnsi="Outfit;sans-serif"/>
          <w:color w:val="000000"/>
          <w:sz w:val="22"/>
        </w:rPr>
      </w:pPr>
      <w:r>
        <w:rPr>
          <w:rFonts w:ascii="Outfit;sans-serif" w:hAnsi="Outfit;sans-serif"/>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i/>
          <w:color w:val="00002D"/>
          <w:sz w:val="22"/>
        </w:rPr>
      </w:pPr>
      <w:r>
        <w:rPr>
          <w:rFonts w:ascii="Outfit;sans-serif" w:hAnsi="Outfit;sans-serif"/>
          <w:b/>
          <w:i/>
          <w:color w:val="00002D"/>
          <w:sz w:val="22"/>
        </w:rPr>
        <w:t>Role of our Chief Executive Officer</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Chief Executive Officer evaluates at least annually the performance of each of our executive officers, other than himself, and makes recommendations to the Compensation Committee with respect to annual base salary adjustments, target annual cash incentive award opportunities, actual award payments, and equity awards for each executive officer. While the Compensation Committee takes these recommendations into consideration in its deliberations, it exercises its own independent judgment in approving the executive compensation of our executive officers. Our Chief Executive Officer does not make recommendations regarding his own compensation, and he does not participate in any discussions regarding his own compensation.</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Role of Compensation Consultant</w:t>
      </w:r>
    </w:p>
    <w:p>
      <w:pPr>
        <w:pStyle w:val="TextBody"/>
        <w:bidi w:val="0"/>
        <w:spacing w:before="0" w:after="120"/>
        <w:jc w:val="both"/>
        <w:rPr>
          <w:rFonts w:ascii="Times New Roman" w:hAnsi="Times New Roman"/>
          <w:sz w:val="20"/>
        </w:rPr>
      </w:pPr>
      <w:r>
        <w:rPr>
          <w:rFonts w:ascii="Outfit;sans-serif" w:hAnsi="Outfit;sans-serif"/>
          <w:color w:val="000000"/>
          <w:sz w:val="22"/>
        </w:rPr>
        <w:t>The Compensation Committee has the authority under the Compensation Committee Charter to engage the services of a compensation consultant to assist it in carrying out its responsibilities. The Compensation Committee has directly engaged Compensia to assist it in developing and overseeing the Company’s executive compensation program and non-employee director compensation program and practices and to provide an analysis of competitive market data. To assist the Compensation Committee with its consideration of 2025 executive compensation decisions, Compensia provided the Compensation Committee with compensation data and an updated competitive market analysis for similarly situated executive officers at our peer group companies. Compensia also provided consulting services to the Company on an ad hoc basis regarding equity compensation matters and assisted with review of the “</w:t>
      </w:r>
      <w:r>
        <w:rPr>
          <w:rFonts w:ascii="Outfit;sans-serif" w:hAnsi="Outfit;sans-serif"/>
          <w:i/>
          <w:color w:val="000000"/>
          <w:sz w:val="22"/>
        </w:rPr>
        <w:t>Compensation Discussion and Analysis</w:t>
      </w:r>
      <w:r>
        <w:rPr>
          <w:rFonts w:ascii="Times New Roman" w:hAnsi="Times New Roman"/>
          <w:color w:val="000000"/>
          <w:sz w:val="20"/>
        </w:rPr>
        <w:t xml:space="preserve">” </w:t>
      </w:r>
      <w:r>
        <w:rPr>
          <w:rFonts w:ascii="Outfit;sans-serif" w:hAnsi="Outfit;sans-serif"/>
          <w:color w:val="000000"/>
          <w:sz w:val="22"/>
        </w:rPr>
        <w:t>section of this proxy statement.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Compensia maintains a policy that is specifically designed to prevent any conflicts of interest. In addition, the Compensation Committee has assessed the independence of Compensia taking into account, among other things, the factors set forth in Exchange Act Rule 10C-1 and the applicable Nasdaq listing standards and concluded that no conflict of interest has arisen with respect to the work that Compensia performs for the Compensation Committee.</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Competitive Positioning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has established and maintains a compensation peer group consisting of publicly traded companies, which the Compensation Committee reviews and updates from time to time, for purposes of reviewing and considering our executive officers’ 2025 base salaries, target annual cash incentive award opportunities, and annual equity awards. The Compensation Committee believes that this compensation peer group accurately reflected the Company’s growth, opportunities, and current market positioning. This group consisted of technology companies that the Compensation Committee determined operate within our industry, compete with us for talent, or are located in the same general geographic area. Other factors considered include comparable revenues, market capitalization, and projected revenue growth. In connection with its review, the Compensation Committee removed three peer companies for 2025 – Everbridge, Inc., Redfin Corporation, and ZipRecruiter, Inc. – because they either were acquired or fell outside of the comparable revenue or market capitalization ranges.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companies were approved by the Compensation Committee for inclusion in our 2025 compensation peer group:</w:t>
      </w:r>
    </w:p>
    <w:tbl>
      <w:tblPr>
        <w:tblW w:w="10204" w:type="dxa"/>
        <w:jc w:val="left"/>
        <w:tblInd w:w="0" w:type="dxa"/>
        <w:tblLayout w:type="fixed"/>
        <w:tblCellMar>
          <w:top w:w="28" w:type="dxa"/>
          <w:left w:w="28" w:type="dxa"/>
          <w:bottom w:w="28" w:type="dxa"/>
          <w:right w:w="28" w:type="dxa"/>
        </w:tblCellMar>
      </w:tblPr>
      <w:tblGrid>
        <w:gridCol w:w="2776"/>
        <w:gridCol w:w="2776"/>
        <w:gridCol w:w="2506"/>
        <w:gridCol w:w="2146"/>
      </w:tblGrid>
      <w:tr>
        <w:trPr/>
        <w:tc>
          <w:tcPr>
            <w:tcW w:w="277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ACI Worldwide, Inc.</w:t>
            </w:r>
          </w:p>
        </w:tc>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Cars.com Inc.</w:t>
            </w:r>
          </w:p>
        </w:tc>
        <w:tc>
          <w:tcPr>
            <w:tcW w:w="250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NetScout Systems, Inc.</w:t>
            </w:r>
          </w:p>
        </w:tc>
        <w:tc>
          <w:tcPr>
            <w:tcW w:w="214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Squarespace, Inc.*</w:t>
            </w:r>
          </w:p>
        </w:tc>
      </w:tr>
      <w:tr>
        <w:trPr/>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ACV Auctions Inc.</w:t>
            </w:r>
          </w:p>
        </w:tc>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Commvault Systems, Inc.</w:t>
            </w:r>
          </w:p>
        </w:tc>
        <w:tc>
          <w:tcPr>
            <w:tcW w:w="250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OPENLANE, Inc.</w:t>
            </w:r>
          </w:p>
        </w:tc>
        <w:tc>
          <w:tcPr>
            <w:tcW w:w="214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TripAdvisor, Inc.</w:t>
            </w:r>
          </w:p>
        </w:tc>
      </w:tr>
      <w:tr>
        <w:trPr/>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Alarm.com Holdings, Inc.</w:t>
            </w:r>
          </w:p>
        </w:tc>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Envestnet, Inc.</w:t>
            </w:r>
          </w:p>
        </w:tc>
        <w:tc>
          <w:tcPr>
            <w:tcW w:w="250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Pegasystems Inc.</w:t>
            </w:r>
          </w:p>
        </w:tc>
        <w:tc>
          <w:tcPr>
            <w:tcW w:w="214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Upwork, Inc.</w:t>
            </w:r>
          </w:p>
        </w:tc>
      </w:tr>
      <w:tr>
        <w:trPr/>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Angi Inc.</w:t>
            </w:r>
          </w:p>
        </w:tc>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Flywire Corporation</w:t>
            </w:r>
          </w:p>
        </w:tc>
        <w:tc>
          <w:tcPr>
            <w:tcW w:w="250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Rapid7, Inc.</w:t>
            </w:r>
          </w:p>
        </w:tc>
        <w:tc>
          <w:tcPr>
            <w:tcW w:w="214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Yelp Inc.</w:t>
            </w:r>
          </w:p>
        </w:tc>
      </w:tr>
      <w:tr>
        <w:trPr/>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Bumble Inc.</w:t>
            </w:r>
          </w:p>
        </w:tc>
        <w:tc>
          <w:tcPr>
            <w:tcW w:w="277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GoodRx Holdings, Inc.*</w:t>
            </w:r>
          </w:p>
        </w:tc>
        <w:tc>
          <w:tcPr>
            <w:tcW w:w="2506" w:type="dxa"/>
            <w:tcBorders/>
            <w:tcMar>
              <w:top w:w="0" w:type="dxa"/>
              <w:left w:w="0" w:type="dxa"/>
              <w:bottom w:w="0" w:type="dxa"/>
              <w:right w:w="0" w:type="dxa"/>
            </w:tcMar>
            <w:vAlign w:val="center"/>
          </w:tcPr>
          <w:p>
            <w:pPr>
              <w:pStyle w:val="TableContents"/>
              <w:bidi w:val="0"/>
              <w:spacing w:before="0" w:after="60"/>
              <w:jc w:val="left"/>
              <w:rPr>
                <w:rFonts w:ascii="Outfit;sans-serif" w:hAnsi="Outfit;sans-serif"/>
                <w:color w:val="000000"/>
                <w:sz w:val="21"/>
              </w:rPr>
            </w:pPr>
            <w:r>
              <w:rPr>
                <w:rFonts w:ascii="Outfit;sans-serif" w:hAnsi="Outfit;sans-serif"/>
                <w:color w:val="000000"/>
                <w:sz w:val="21"/>
              </w:rPr>
              <w:t>Shutterstock, Inc.</w:t>
            </w:r>
          </w:p>
        </w:tc>
        <w:tc>
          <w:tcPr>
            <w:tcW w:w="2146" w:type="dxa"/>
            <w:tcBorders/>
            <w:tcMar>
              <w:top w:w="0" w:type="dxa"/>
              <w:left w:w="0" w:type="dxa"/>
              <w:bottom w:w="0" w:type="dxa"/>
              <w:right w:w="0" w:type="dxa"/>
            </w:tcMar>
            <w:vAlign w:val="center"/>
          </w:tcPr>
          <w:p>
            <w:pPr>
              <w:pStyle w:val="TableContents"/>
              <w:bidi w:val="0"/>
              <w:spacing w:before="0" w:after="60"/>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60" w:after="283"/>
        <w:jc w:val="both"/>
        <w:rPr>
          <w:rFonts w:ascii="Outfit;sans-serif" w:hAnsi="Outfit;sans-serif"/>
          <w:color w:val="000000"/>
          <w:sz w:val="20"/>
        </w:rPr>
      </w:pPr>
      <w:r>
        <w:rPr>
          <w:rFonts w:ascii="Outfit;sans-serif" w:hAnsi="Outfit;sans-serif"/>
          <w:color w:val="000000"/>
          <w:sz w:val="20"/>
        </w:rPr>
        <w:t>*Represents new addition to peer group.</w:t>
      </w:r>
    </w:p>
    <w:p>
      <w:pPr>
        <w:pStyle w:val="TextBody"/>
        <w:bidi w:val="0"/>
        <w:spacing w:before="120" w:after="120"/>
        <w:jc w:val="both"/>
        <w:rPr>
          <w:rFonts w:ascii="Outfit;sans-serif" w:hAnsi="Outfit;sans-serif"/>
          <w:color w:val="000000"/>
          <w:sz w:val="22"/>
        </w:rPr>
      </w:pPr>
      <w:r>
        <w:rPr>
          <w:rFonts w:ascii="Outfit;sans-serif" w:hAnsi="Outfit;sans-serif"/>
          <w:color w:val="000000"/>
          <w:sz w:val="22"/>
        </w:rPr>
        <w:t>The Compensation Committee considered both Compensia’s competitive market analysis and compensation data drawn from publicly-available proxy statements and industry-specific survey data for this compensation peer group as reference points for its 2025 executive compensation decisions. While the Compensation Committee takes into account peer company compensation practices, the Compensation Committee uses this information as one of many factors in its deliberations on compensation matters and does not set compensation levels to meet specific percentiles.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reviews the analyses prepared internally and by Compensia based on the compensation data drawn from a compensation peer group to develop a subjective representation of the “competitive market” with respect to current executive compensation levels and related policies and practices. The Compensation Committee then evaluates how our pay practices and the compensation levels of our executive officers compare to the competitive market. As part of this evaluation, the Compensation Committee also reviews the performance measures and performance goals generally used within the competitive market to reward performance.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Management and the Compensation Committee strive to incorporate flexibility into our executive compensation program and the assessment process to respond to and adjust for the evolving business environment and the value delivered by our executive officers.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2025 Executive Compensation Program and Pay-for-Performance Alignment</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We believe our executive compensation program is effectively designed and has worked well to implement a pay-for-performance culture that is aligned with the interests of our stockholders. In 2025 our executive compensation program consisted of annual base salary, short- and long-term incentives, and other benefits.</w:t>
      </w:r>
    </w:p>
    <w:p>
      <w:pPr>
        <w:pStyle w:val="TextBody"/>
        <w:bidi w:val="0"/>
        <w:spacing w:before="0" w:after="240"/>
        <w:jc w:val="both"/>
        <w:rPr>
          <w:rFonts w:ascii="Times New Roman" w:hAnsi="Times New Roman"/>
          <w:sz w:val="20"/>
        </w:rPr>
      </w:pPr>
      <w:r>
        <w:rPr>
          <w:rFonts w:ascii="Outfit;sans-serif" w:hAnsi="Outfit;sans-serif"/>
          <w:i/>
          <w:color w:val="3465B0"/>
          <w:sz w:val="22"/>
        </w:rPr>
        <w:t>91.4% of our Chief Executive Officer’s and 89.6% of our other named executive officers’ 2025 total direct compensation was performance-based and at-risk.</w:t>
      </w:r>
      <w:r>
        <w:rPr>
          <w:rFonts w:ascii="Times New Roman" w:hAnsi="Times New Roman"/>
          <w:color w:val="3465B0"/>
          <w:sz w:val="20"/>
        </w:rPr>
        <w:t xml:space="preserve"> </w:t>
      </w:r>
    </w:p>
    <w:p>
      <w:pPr>
        <w:pStyle w:val="TextBody"/>
        <w:bidi w:val="0"/>
        <w:spacing w:before="0" w:after="240"/>
        <w:jc w:val="center"/>
        <w:rPr/>
      </w:pPr>
      <w:r>
        <w:rPr/>
        <w:drawing>
          <wp:inline distT="0" distB="0" distL="0" distR="0">
            <wp:extent cx="1666875" cy="15716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1666875" cy="1571625"/>
                    </a:xfrm>
                    <a:prstGeom prst="rect">
                      <a:avLst/>
                    </a:prstGeom>
                  </pic:spPr>
                </pic:pic>
              </a:graphicData>
            </a:graphic>
          </wp:inline>
        </w:drawing>
      </w:r>
      <w:r>
        <w:rPr/>
        <w:drawing>
          <wp:inline distT="0" distB="0" distL="0" distR="0">
            <wp:extent cx="1352550" cy="15621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1352550" cy="1562100"/>
                    </a:xfrm>
                    <a:prstGeom prst="rect">
                      <a:avLst/>
                    </a:prstGeom>
                  </pic:spPr>
                </pic:pic>
              </a:graphicData>
            </a:graphic>
          </wp:inline>
        </w:drawing>
      </w:r>
    </w:p>
    <w:p>
      <w:pPr>
        <w:pStyle w:val="TextBody"/>
        <w:bidi w:val="0"/>
        <w:spacing w:before="0" w:after="0"/>
        <w:jc w:val="both"/>
        <w:rPr>
          <w:rFonts w:ascii="Outfit" w:hAnsi="Outfit"/>
          <w:color w:val="000000"/>
          <w:sz w:val="20"/>
        </w:rPr>
      </w:pPr>
      <w:r>
        <w:rPr>
          <w:rFonts w:ascii="Outfit" w:hAnsi="Outfit"/>
          <w:color w:val="000000"/>
          <w:sz w:val="20"/>
        </w:rPr>
        <w:t>(1)</w:t>
      </w:r>
    </w:p>
    <w:p>
      <w:pPr>
        <w:pStyle w:val="TextBody"/>
        <w:bidi w:val="0"/>
        <w:spacing w:before="0" w:after="0"/>
        <w:jc w:val="both"/>
        <w:rPr/>
      </w:pPr>
      <w:r>
        <w:rPr>
          <w:rFonts w:ascii="Outfit;sans-serif" w:hAnsi="Outfit;sans-serif"/>
          <w:color w:val="000000"/>
          <w:sz w:val="20"/>
        </w:rPr>
        <w:t>Consists of Mr. Trevisan’s</w:t>
      </w:r>
      <w:r>
        <w:rPr>
          <w:color w:val="000000"/>
        </w:rPr>
        <w:t xml:space="preserve"> </w:t>
      </w:r>
      <w:r>
        <w:rPr>
          <w:rFonts w:ascii="Outfit;sans-serif" w:hAnsi="Outfit;sans-serif"/>
          <w:color w:val="000000"/>
          <w:sz w:val="20"/>
        </w:rPr>
        <w:t>2025 actual base salary, annual cash incentive award paid for 2025 performance, the grant date fair value of the equity award granted in 2025, and other compensation.</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For our named executive officers other than Mr. Trevisan, consists of these individuals’ annualized 2025 actual base salaries, annual cash incentive awards paid for 2025 performance, the grant date fair values of the equity awards granted in 2025, and other compensation but excludes compensation for Ms. Palazzo due to partial year employment with the Company in 2025. At Mr. Steinert’s request, to demonstrate his confidence in the Company and to continue to align his interests with those of our stockholders, the Compensation Committee maintained Mr. Steinert’s annual base salary of $10,000 for 2025 and continued to consider Mr. Steinert ineligible to receive an annual cash incentive award for his 2025 performance.</w:t>
      </w:r>
    </w:p>
    <w:p>
      <w:pPr>
        <w:pStyle w:val="TextBody"/>
        <w:bidi w:val="0"/>
        <w:jc w:val="center"/>
        <w:rPr>
          <w:rFonts w:ascii="Outfit;sans-serif" w:hAnsi="Outfit;sans-serif"/>
          <w:color w:val="000000"/>
          <w:sz w:val="22"/>
        </w:rPr>
      </w:pPr>
      <w:r>
        <w:rPr>
          <w:rFonts w:ascii="Outfit;sans-serif" w:hAnsi="Outfit;sans-serif"/>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Transition-Related Compensation Decisions</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Arrangement with Ms. Palazzo</w:t>
      </w:r>
    </w:p>
    <w:p>
      <w:pPr>
        <w:pStyle w:val="TextBody"/>
        <w:bidi w:val="0"/>
        <w:spacing w:before="0" w:after="120"/>
        <w:jc w:val="both"/>
        <w:rPr>
          <w:rFonts w:ascii="Times New Roman" w:hAnsi="Times New Roman"/>
          <w:sz w:val="20"/>
        </w:rPr>
      </w:pPr>
      <w:r>
        <w:rPr>
          <w:rFonts w:ascii="Outfit;sans-serif" w:hAnsi="Outfit;sans-serif"/>
          <w:color w:val="00002D"/>
          <w:sz w:val="22"/>
        </w:rPr>
        <w:t xml:space="preserve">Ms. Palazzo stepped down as our Chief Financial Officer and Treasurer on March 7, 2025. In connection with her departure, Ms. Palazzo </w:t>
      </w:r>
      <w:r>
        <w:rPr>
          <w:rFonts w:ascii="Outfit;sans-serif" w:hAnsi="Outfit;sans-serif"/>
          <w:color w:val="000000"/>
          <w:sz w:val="22"/>
        </w:rPr>
        <w:t>received accrued compensation through the date of termination and, because she executed and did not revoke a general release of claims, a severance payment of $292,500 (nine months of her base salary, which was paid in a lump sum)</w:t>
      </w:r>
      <w:r>
        <w:rPr>
          <w:rFonts w:ascii="Outfit;sans-serif" w:hAnsi="Outfit;sans-serif"/>
          <w:color w:val="00002D"/>
          <w:sz w:val="22"/>
        </w:rPr>
        <w:t>. Ms. Palazzo waived her right to receive reimbursement on a monthly basis for the COBRA premiums that she would have paid for continued health care coverage under our group health plans for herself and her dependents until the earlier of (i) December 31, 2025, (ii) she became eligible under another employer’s group coverage, or (iii) she ceased to be eligible for COBRA coverage for any reason.</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2025 Named Executive Officer Compensation</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Base Salary</w:t>
      </w:r>
    </w:p>
    <w:p>
      <w:pPr>
        <w:pStyle w:val="TextBody"/>
        <w:bidi w:val="0"/>
        <w:spacing w:before="0" w:after="120"/>
        <w:jc w:val="both"/>
        <w:rPr>
          <w:rFonts w:ascii="Times New Roman" w:hAnsi="Times New Roman"/>
          <w:sz w:val="20"/>
        </w:rPr>
      </w:pPr>
      <w:r>
        <w:rPr>
          <w:rFonts w:ascii="Outfit;sans-serif" w:hAnsi="Outfit;sans-serif"/>
          <w:color w:val="000000"/>
          <w:sz w:val="22"/>
        </w:rPr>
        <w:t>Annual base salary represents the fixed portion of the compensation of our named executive officers and is an important element of compensation intended to attract and retain highly-talented individuals.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Outfit;sans-serif" w:hAnsi="Outfit;sans-serif"/>
          <w:color w:val="000000"/>
          <w:sz w:val="22"/>
        </w:rPr>
        <w:t>Generally, the Compensation Committee reviews the annual base salaries of our named executive officers at the beginning of each year. Base salaries are set at levels that the Compensation Committee believes are competitive with current market practices with reference to the competitive market after taking into consideration each individual’s role, responsibilities, qualifications, experience, past performance and expected future contributions, prior annual base salary with the Company, and the annual base salary levels of our other executive officers (other than Mr. Steinert, where the Compensation Committee,</w:t>
      </w:r>
      <w:r>
        <w:rPr>
          <w:rFonts w:ascii="Times New Roman" w:hAnsi="Times New Roman"/>
          <w:color w:val="000000"/>
          <w:sz w:val="20"/>
        </w:rPr>
        <w:t xml:space="preserve"> </w:t>
      </w:r>
      <w:r>
        <w:rPr>
          <w:rFonts w:ascii="Outfit;sans-serif" w:hAnsi="Outfit;sans-serif"/>
          <w:color w:val="000000"/>
          <w:sz w:val="22"/>
        </w:rPr>
        <w:t>at Mr. Steinert’s request, to demonstrate his confidence in the Company and to continue to align his interests with those of our stockholders, maintained Mr. Steinert’s annual base salary of $10,000 for 2025). The Compensation Committee does not apply specific formulas to determine annual base salaries.</w:t>
      </w:r>
    </w:p>
    <w:p>
      <w:pPr>
        <w:pStyle w:val="TextBody"/>
        <w:bidi w:val="0"/>
        <w:spacing w:before="0" w:after="120"/>
        <w:jc w:val="both"/>
        <w:rPr>
          <w:rFonts w:ascii="Times New Roman" w:hAnsi="Times New Roman"/>
          <w:sz w:val="20"/>
        </w:rPr>
      </w:pPr>
      <w:r>
        <w:rPr>
          <w:rFonts w:ascii="Outfit;sans-serif" w:hAnsi="Outfit;sans-serif"/>
          <w:color w:val="000000"/>
          <w:sz w:val="22"/>
        </w:rPr>
        <w:t>In February 2025 the Compensation Committee reviewed the annual base salary of each of our named executive officers. The Compensation Committee considered Compensia’s competitive market analysis, including a comparison of our named executive officers’ annual base salaries to those of executives holding comparable positions at the companies in our compensation peer group as well as its own assessment of our 2024 performance and the other factors described above.</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Based on this review, the Compensation Committee determined that it was appropriate to set the annual base salaries of our named executive officers for 2025, effective as of April 1, 2025, as follows:</w:t>
      </w:r>
    </w:p>
    <w:tbl>
      <w:tblPr>
        <w:tblW w:w="8117" w:type="dxa"/>
        <w:jc w:val="left"/>
        <w:tblInd w:w="0" w:type="dxa"/>
        <w:tblLayout w:type="fixed"/>
        <w:tblCellMar>
          <w:top w:w="28" w:type="dxa"/>
          <w:left w:w="28" w:type="dxa"/>
          <w:bottom w:w="28" w:type="dxa"/>
          <w:right w:w="28" w:type="dxa"/>
        </w:tblCellMar>
      </w:tblPr>
      <w:tblGrid>
        <w:gridCol w:w="3241"/>
        <w:gridCol w:w="301"/>
        <w:gridCol w:w="1274"/>
        <w:gridCol w:w="301"/>
        <w:gridCol w:w="1274"/>
        <w:gridCol w:w="1726"/>
      </w:tblGrid>
      <w:tr>
        <w:trPr/>
        <w:tc>
          <w:tcPr>
            <w:tcW w:w="3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Named Executive Officer</w:t>
            </w:r>
          </w:p>
        </w:tc>
        <w:tc>
          <w:tcPr>
            <w:tcW w:w="1575" w:type="dxa"/>
            <w:gridSpan w:val="2"/>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22"/>
              </w:rPr>
            </w:pPr>
            <w:r>
              <w:rPr>
                <w:rFonts w:ascii="Outfit;sans-serif" w:hAnsi="Outfit;sans-serif"/>
                <w:b/>
                <w:color w:val="3465B0"/>
                <w:sz w:val="22"/>
              </w:rPr>
              <w:t>2024</w:t>
            </w:r>
          </w:p>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Base Salary</w:t>
            </w:r>
          </w:p>
        </w:tc>
        <w:tc>
          <w:tcPr>
            <w:tcW w:w="1575" w:type="dxa"/>
            <w:gridSpan w:val="2"/>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22"/>
              </w:rPr>
            </w:pPr>
            <w:r>
              <w:rPr>
                <w:rFonts w:ascii="Outfit;sans-serif" w:hAnsi="Outfit;sans-serif"/>
                <w:b/>
                <w:color w:val="3465B0"/>
                <w:sz w:val="22"/>
              </w:rPr>
              <w:t>2025</w:t>
            </w:r>
          </w:p>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Base Salary</w:t>
            </w:r>
          </w:p>
        </w:tc>
        <w:tc>
          <w:tcPr>
            <w:tcW w:w="172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22"/>
              </w:rPr>
            </w:pPr>
            <w:r>
              <w:rPr>
                <w:rFonts w:ascii="Outfit;sans-serif" w:hAnsi="Outfit;sans-serif"/>
                <w:b/>
                <w:color w:val="3465B0"/>
                <w:sz w:val="22"/>
              </w:rPr>
              <w:t>Percentage</w:t>
            </w:r>
          </w:p>
          <w:p>
            <w:pPr>
              <w:pStyle w:val="TableContents"/>
              <w:bidi w:val="0"/>
              <w:spacing w:before="0" w:after="283"/>
              <w:ind w:left="0" w:right="0" w:firstLine="240"/>
              <w:jc w:val="center"/>
              <w:rPr>
                <w:rFonts w:ascii="Times New Roman" w:hAnsi="Times New Roman"/>
                <w:sz w:val="22"/>
              </w:rPr>
            </w:pPr>
            <w:r>
              <w:rPr>
                <w:rFonts w:ascii="Outfit;sans-serif" w:hAnsi="Outfit;sans-serif"/>
                <w:b/>
                <w:color w:val="3465B0"/>
                <w:sz w:val="22"/>
              </w:rPr>
              <w:t>Increase</w:t>
            </w:r>
            <w:r>
              <w:rPr>
                <w:rFonts w:ascii="Outfit;sans-serif" w:hAnsi="Outfit;sans-serif"/>
                <w:b/>
                <w:color w:val="3465B0"/>
                <w:sz w:val="15"/>
              </w:rPr>
              <w:t>(1)</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Trevisan</w:t>
            </w:r>
          </w:p>
        </w:tc>
        <w:tc>
          <w:tcPr>
            <w:tcW w:w="30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625,000</w:t>
            </w:r>
          </w:p>
        </w:tc>
        <w:tc>
          <w:tcPr>
            <w:tcW w:w="30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655,000</w:t>
            </w:r>
          </w:p>
        </w:tc>
        <w:tc>
          <w:tcPr>
            <w:tcW w:w="172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4.8%</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Ms. Palazzo</w:t>
            </w:r>
            <w:r>
              <w:rPr>
                <w:rFonts w:ascii="Outfit;sans-serif" w:hAnsi="Outfit;sans-serif"/>
                <w:color w:val="000000"/>
                <w:sz w:val="15"/>
              </w:rPr>
              <w:t>(2)</w:t>
            </w:r>
          </w:p>
        </w:tc>
        <w:tc>
          <w:tcPr>
            <w:tcW w:w="301"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390,000</w:t>
            </w:r>
          </w:p>
        </w:tc>
        <w:tc>
          <w:tcPr>
            <w:tcW w:w="301"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390,000</w:t>
            </w:r>
          </w:p>
        </w:tc>
        <w:tc>
          <w:tcPr>
            <w:tcW w:w="1726"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Mr. Steinert</w:t>
            </w:r>
            <w:r>
              <w:rPr>
                <w:rFonts w:ascii="Outfit;sans-serif" w:hAnsi="Outfit;sans-serif"/>
                <w:color w:val="000000"/>
                <w:sz w:val="15"/>
              </w:rPr>
              <w:t>(3)</w:t>
            </w:r>
          </w:p>
        </w:tc>
        <w:tc>
          <w:tcPr>
            <w:tcW w:w="30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10,000</w:t>
            </w:r>
          </w:p>
        </w:tc>
        <w:tc>
          <w:tcPr>
            <w:tcW w:w="30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10,000</w:t>
            </w:r>
          </w:p>
        </w:tc>
        <w:tc>
          <w:tcPr>
            <w:tcW w:w="172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Quinn</w:t>
            </w:r>
          </w:p>
        </w:tc>
        <w:tc>
          <w:tcPr>
            <w:tcW w:w="301"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410,000</w:t>
            </w:r>
          </w:p>
        </w:tc>
        <w:tc>
          <w:tcPr>
            <w:tcW w:w="301"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420,000</w:t>
            </w:r>
          </w:p>
        </w:tc>
        <w:tc>
          <w:tcPr>
            <w:tcW w:w="1726"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2.4%</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Zales</w:t>
            </w:r>
          </w:p>
        </w:tc>
        <w:tc>
          <w:tcPr>
            <w:tcW w:w="30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550,000</w:t>
            </w:r>
          </w:p>
        </w:tc>
        <w:tc>
          <w:tcPr>
            <w:tcW w:w="30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127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565,000</w:t>
            </w:r>
          </w:p>
        </w:tc>
        <w:tc>
          <w:tcPr>
            <w:tcW w:w="172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2.7%</w:t>
            </w:r>
          </w:p>
        </w:tc>
      </w:tr>
    </w:tbl>
    <w:p>
      <w:pPr>
        <w:pStyle w:val="TextBody"/>
        <w:bidi w:val="0"/>
        <w:spacing w:before="120" w:after="120"/>
        <w:jc w:val="both"/>
        <w:rPr>
          <w:rFonts w:ascii="Outfit" w:hAnsi="Outfit"/>
          <w:color w:val="000000"/>
          <w:sz w:val="20"/>
        </w:rPr>
      </w:pPr>
      <w:r>
        <w:rPr>
          <w:rFonts w:ascii="Outfit" w:hAnsi="Outfit"/>
          <w:color w:val="000000"/>
          <w:sz w:val="20"/>
        </w:rPr>
        <w:t>(1)</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The Compensation Committee awarded base merit salary increases for 2025 to certain of our named executive officers after its annual review of our executive compensation program.</w:t>
      </w:r>
    </w:p>
    <w:p>
      <w:pPr>
        <w:pStyle w:val="TextBody"/>
        <w:bidi w:val="0"/>
        <w:spacing w:before="0" w:after="120"/>
        <w:jc w:val="both"/>
        <w:rPr>
          <w:rFonts w:ascii="Outfit" w:hAnsi="Outfit"/>
          <w:color w:val="000000"/>
          <w:sz w:val="20"/>
        </w:rPr>
      </w:pPr>
      <w:r>
        <w:rPr>
          <w:rFonts w:ascii="Outfit" w:hAnsi="Outfit"/>
          <w:color w:val="000000"/>
          <w:sz w:val="20"/>
        </w:rPr>
        <w:t>(2)</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Ms. Palazzo’s 2025 base salary was increased to $400,000; however, Ms. Palazzo departed from the Company before the salary increase became effective.</w:t>
      </w:r>
    </w:p>
    <w:p>
      <w:pPr>
        <w:pStyle w:val="TextBody"/>
        <w:bidi w:val="0"/>
        <w:spacing w:before="0" w:after="120"/>
        <w:jc w:val="both"/>
        <w:rPr>
          <w:rFonts w:ascii="Outfit" w:hAnsi="Outfit"/>
          <w:color w:val="000000"/>
          <w:sz w:val="20"/>
        </w:rPr>
      </w:pPr>
      <w:r>
        <w:rPr>
          <w:rFonts w:ascii="Outfit" w:hAnsi="Outfit"/>
          <w:color w:val="000000"/>
          <w:sz w:val="20"/>
        </w:rPr>
        <w:t>(3)</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At Mr. Steinert’s request, to demonstrate his confidence in the Company and to continue to align his interests with those of our stockholders, the Compensation Committee maintained Mr. Steinert’s annual base salary of $10,000 for 2025.</w:t>
      </w:r>
    </w:p>
    <w:p>
      <w:pPr>
        <w:pStyle w:val="TextBody"/>
        <w:bidi w:val="0"/>
        <w:jc w:val="center"/>
        <w:rPr>
          <w:rFonts w:ascii="Outfit;sans-serif" w:hAnsi="Outfit;sans-serif"/>
          <w:color w:val="000000"/>
          <w:sz w:val="22"/>
        </w:rPr>
      </w:pPr>
      <w:r>
        <w:rPr>
          <w:rFonts w:ascii="Outfit;sans-serif" w:hAnsi="Outfit;sans-serif"/>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Times New Roman" w:hAnsi="Times New Roman"/>
          <w:sz w:val="20"/>
        </w:rPr>
      </w:pPr>
      <w:r>
        <w:rPr>
          <w:rFonts w:ascii="Outfit;sans-serif" w:hAnsi="Outfit;sans-serif"/>
          <w:color w:val="000000"/>
          <w:sz w:val="22"/>
        </w:rPr>
        <w:t>The actual base salaries paid to our named executive officers in 2025 are set forth in the “</w:t>
      </w:r>
      <w:r>
        <w:rPr>
          <w:rFonts w:ascii="Outfit;sans-serif" w:hAnsi="Outfit;sans-serif"/>
          <w:i/>
          <w:color w:val="000000"/>
          <w:sz w:val="22"/>
        </w:rPr>
        <w:t xml:space="preserve">Summary Compensation Table" </w:t>
      </w:r>
      <w:r>
        <w:rPr>
          <w:rFonts w:ascii="Outfit;sans-serif" w:hAnsi="Outfit;sans-serif"/>
          <w:color w:val="000000"/>
          <w:sz w:val="22"/>
        </w:rPr>
        <w:t>below.</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Cash Incentive Awards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2025 we provided our named executive officers with the opportunity to earn cash incentive awards to encourage the achievement of our corporate performance objectives and to reward those individuals who significantly impact our corporate results based on the objectives set forth in our annual operating plan. The Compensation Committee determines and approves cash incentive award decisions for our named executive officers, including whether to exercise discretion to modify the calculated payments.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February 2018 the Compensation Committee approved the CarGurus, Inc. Annual Incentive Plan (the Annual Incentive Plan), providing an opportunity for certain of our salaried employees, including our named executive officers, to earn annual cash incentive awards, as described below. Pursuant to the Annual Incentive Plan, each participant is eligible to receive a cash incentive award for the relevant year based on our level of achievement of one or more pre-established strategic objectives and financial performance goals and the participant’s individual performance goals, if applicable, during such year. The amount actually paid to a participant may be more or less than the participant’s target annual cash incentive award opportunity, depending on the extent to which applicable performance goals were determined to be satisfied. Participants, including our named executive officers, will not receive a payout for any performance measure that fails to achieve threshold level criteria.</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February 2025 the Compensation Committee selected the 2025 performance measures and established the related target performance levels and objectives, as well as the corresponding weighting for each measure, for our named executive officers under the Annual Incentive Plan (the 2025 Annual Incentive Plan).</w:t>
      </w:r>
    </w:p>
    <w:p>
      <w:pPr>
        <w:pStyle w:val="TextBody"/>
        <w:bidi w:val="0"/>
        <w:spacing w:before="0" w:after="120"/>
        <w:jc w:val="left"/>
        <w:rPr>
          <w:rFonts w:ascii="Outfit;sans-serif" w:hAnsi="Outfit;sans-serif"/>
          <w:color w:val="3465B0"/>
          <w:sz w:val="22"/>
        </w:rPr>
      </w:pPr>
      <w:r>
        <w:rPr>
          <w:rFonts w:ascii="Outfit;sans-serif" w:hAnsi="Outfit;sans-serif"/>
          <w:color w:val="3465B0"/>
          <w:sz w:val="22"/>
        </w:rPr>
        <w:t>Target Annual Cash Incentive Award Opportunities</w:t>
      </w:r>
    </w:p>
    <w:p>
      <w:pPr>
        <w:pStyle w:val="TextBody"/>
        <w:bidi w:val="0"/>
        <w:spacing w:before="0" w:after="120"/>
        <w:jc w:val="both"/>
        <w:rPr>
          <w:rFonts w:ascii="Times New Roman" w:hAnsi="Times New Roman"/>
          <w:sz w:val="20"/>
        </w:rPr>
      </w:pPr>
      <w:r>
        <w:rPr>
          <w:rFonts w:ascii="Outfit;sans-serif" w:hAnsi="Outfit;sans-serif"/>
          <w:color w:val="000000"/>
          <w:sz w:val="22"/>
        </w:rPr>
        <w:t>Under the 2025 Annual Incentive Plan, each participant’s actual annual cash incentive award is calculated, in part, by reference to a target annual cash incentive award opportunity based on either a percentage of the participant’s annual base salary for the year or a specified dollar amount, in the case of our named executive officers, as determined by the Compensation Committee. To set the target annual cash incentive award opportunities of our named executive officers for 2025, the Compensation Committee considered Compensia’s competitive market analysis, including a comparison of our named executive officers’ target annual cash incentive award opportunities to those executives holding comparable positions at the companies in our compensation peer group as well as its own assessment of our 2024 performance and the other factors described in “</w:t>
      </w:r>
      <w:r>
        <w:rPr>
          <w:rFonts w:ascii="Outfit;sans-serif" w:hAnsi="Outfit;sans-serif"/>
          <w:i/>
          <w:color w:val="000000"/>
          <w:sz w:val="22"/>
        </w:rPr>
        <w:t>2025 Named Executive Officer Compensation – Base Salary”</w:t>
      </w:r>
      <w:r>
        <w:rPr>
          <w:rFonts w:ascii="Times New Roman" w:hAnsi="Times New Roman"/>
          <w:color w:val="000000"/>
          <w:sz w:val="20"/>
        </w:rPr>
        <w:t xml:space="preserve"> </w:t>
      </w:r>
      <w:r>
        <w:rPr>
          <w:rFonts w:ascii="Outfit;sans-serif" w:hAnsi="Outfit;sans-serif"/>
          <w:color w:val="000000"/>
          <w:sz w:val="22"/>
        </w:rPr>
        <w:t>above.</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target annual cash incentive award opportunities of our named executive officers for 2025 were as follows:</w:t>
      </w:r>
    </w:p>
    <w:tbl>
      <w:tblPr>
        <w:tblW w:w="10205" w:type="dxa"/>
        <w:jc w:val="left"/>
        <w:tblInd w:w="0" w:type="dxa"/>
        <w:tblLayout w:type="fixed"/>
        <w:tblCellMar>
          <w:top w:w="28" w:type="dxa"/>
          <w:left w:w="28" w:type="dxa"/>
          <w:bottom w:w="28" w:type="dxa"/>
          <w:right w:w="28" w:type="dxa"/>
        </w:tblCellMar>
      </w:tblPr>
      <w:tblGrid>
        <w:gridCol w:w="1816"/>
        <w:gridCol w:w="1868"/>
        <w:gridCol w:w="3434"/>
        <w:gridCol w:w="3087"/>
      </w:tblGrid>
      <w:tr>
        <w:trPr/>
        <w:tc>
          <w:tcPr>
            <w:tcW w:w="1816" w:type="dxa"/>
            <w:tcBorders/>
            <w:shd w:fill="FFFFFF" w:val="clear"/>
            <w:vAlign w:val="center"/>
          </w:tcPr>
          <w:p>
            <w:pPr>
              <w:pStyle w:val="TableContents"/>
              <w:bidi w:val="0"/>
              <w:spacing w:before="0" w:after="283"/>
              <w:jc w:val="left"/>
              <w:rPr>
                <w:sz w:val="4"/>
                <w:szCs w:val="4"/>
              </w:rPr>
            </w:pPr>
            <w:r>
              <w:rPr>
                <w:sz w:val="4"/>
                <w:szCs w:val="4"/>
              </w:rPr>
            </w:r>
          </w:p>
        </w:tc>
        <w:tc>
          <w:tcPr>
            <w:tcW w:w="1868" w:type="dxa"/>
            <w:tcBorders/>
            <w:shd w:fill="FFFFFF" w:val="clear"/>
            <w:vAlign w:val="center"/>
          </w:tcPr>
          <w:p>
            <w:pPr>
              <w:pStyle w:val="TableContents"/>
              <w:bidi w:val="0"/>
              <w:spacing w:before="0" w:after="283"/>
              <w:jc w:val="left"/>
              <w:rPr>
                <w:sz w:val="4"/>
                <w:szCs w:val="4"/>
              </w:rPr>
            </w:pPr>
            <w:r>
              <w:rPr>
                <w:sz w:val="4"/>
                <w:szCs w:val="4"/>
              </w:rPr>
            </w:r>
          </w:p>
        </w:tc>
        <w:tc>
          <w:tcPr>
            <w:tcW w:w="3434" w:type="dxa"/>
            <w:tcBorders/>
            <w:shd w:fill="FFFFFF" w:val="clear"/>
            <w:vAlign w:val="center"/>
          </w:tcPr>
          <w:p>
            <w:pPr>
              <w:pStyle w:val="TableContents"/>
              <w:bidi w:val="0"/>
              <w:spacing w:before="0" w:after="283"/>
              <w:jc w:val="left"/>
              <w:rPr>
                <w:sz w:val="4"/>
                <w:szCs w:val="4"/>
              </w:rPr>
            </w:pPr>
            <w:r>
              <w:rPr>
                <w:sz w:val="4"/>
                <w:szCs w:val="4"/>
              </w:rPr>
            </w:r>
          </w:p>
        </w:tc>
        <w:tc>
          <w:tcPr>
            <w:tcW w:w="3087" w:type="dxa"/>
            <w:tcBorders/>
            <w:shd w:fill="FFFFFF" w:val="clear"/>
            <w:vAlign w:val="center"/>
          </w:tcPr>
          <w:p>
            <w:pPr>
              <w:pStyle w:val="TableContents"/>
              <w:bidi w:val="0"/>
              <w:spacing w:before="0" w:after="283"/>
              <w:jc w:val="left"/>
              <w:rPr>
                <w:sz w:val="4"/>
                <w:szCs w:val="4"/>
              </w:rPr>
            </w:pPr>
            <w:r>
              <w:rPr>
                <w:sz w:val="4"/>
                <w:szCs w:val="4"/>
              </w:rPr>
            </w:r>
          </w:p>
        </w:tc>
      </w:tr>
      <w:tr>
        <w:trPr/>
        <w:tc>
          <w:tcPr>
            <w:tcW w:w="1816"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Named Executive Officer</w:t>
            </w:r>
          </w:p>
        </w:tc>
        <w:tc>
          <w:tcPr>
            <w:tcW w:w="1868"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 xml:space="preserve">Target Annual </w:t>
              <w:br/>
              <w:t>Cash Incentive</w:t>
              <w:br/>
              <w:t>Award Opportunity</w:t>
            </w:r>
          </w:p>
        </w:tc>
        <w:tc>
          <w:tcPr>
            <w:tcW w:w="3434"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Target Annual Cash Incentive Award Opportunity (as a percentage of</w:t>
              <w:br/>
              <w:t>annual base salary)</w:t>
            </w:r>
          </w:p>
        </w:tc>
        <w:tc>
          <w:tcPr>
            <w:tcW w:w="3087"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22"/>
              </w:rPr>
            </w:pPr>
            <w:r>
              <w:rPr>
                <w:rFonts w:ascii="Outfit;sans-serif" w:hAnsi="Outfit;sans-serif"/>
                <w:b/>
                <w:color w:val="3465B0"/>
                <w:sz w:val="22"/>
              </w:rPr>
              <w:t>Percentage Change</w:t>
              <w:br/>
              <w:t>from 2024 Target Annual Cash Incentive Award</w:t>
              <w:br/>
              <w:t>Opportunity</w:t>
            </w:r>
            <w:r>
              <w:rPr>
                <w:rFonts w:ascii="Outfit;sans-serif" w:hAnsi="Outfit;sans-serif"/>
                <w:b/>
                <w:color w:val="3465B0"/>
                <w:sz w:val="15"/>
              </w:rPr>
              <w:t>(1)</w:t>
            </w:r>
          </w:p>
        </w:tc>
      </w:tr>
      <w:tr>
        <w:trPr/>
        <w:tc>
          <w:tcPr>
            <w:tcW w:w="181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Trevisan</w:t>
            </w:r>
          </w:p>
        </w:tc>
        <w:tc>
          <w:tcPr>
            <w:tcW w:w="1868"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$ 655,000</w:t>
            </w:r>
          </w:p>
        </w:tc>
        <w:tc>
          <w:tcPr>
            <w:tcW w:w="343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100%</w:t>
            </w:r>
          </w:p>
        </w:tc>
        <w:tc>
          <w:tcPr>
            <w:tcW w:w="3087"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4.8%</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Ms. Palazzo</w:t>
            </w:r>
            <w:r>
              <w:rPr>
                <w:rFonts w:ascii="Outfit;sans-serif" w:hAnsi="Outfit;sans-serif"/>
                <w:color w:val="000000"/>
                <w:sz w:val="15"/>
              </w:rPr>
              <w:t>(2)</w:t>
            </w:r>
          </w:p>
        </w:tc>
        <w:tc>
          <w:tcPr>
            <w:tcW w:w="1868"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$ 250,000</w:t>
            </w:r>
          </w:p>
        </w:tc>
        <w:tc>
          <w:tcPr>
            <w:tcW w:w="3434"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64%</w:t>
            </w:r>
          </w:p>
        </w:tc>
        <w:tc>
          <w:tcPr>
            <w:tcW w:w="3087"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181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Mr. Steinert</w:t>
            </w:r>
            <w:r>
              <w:rPr>
                <w:rFonts w:ascii="Outfit;sans-serif" w:hAnsi="Outfit;sans-serif"/>
                <w:color w:val="000000"/>
                <w:sz w:val="15"/>
              </w:rPr>
              <w:t>(3)</w:t>
            </w:r>
          </w:p>
        </w:tc>
        <w:tc>
          <w:tcPr>
            <w:tcW w:w="1868"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3434"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3087"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Quinn</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$ 250,000</w:t>
            </w:r>
          </w:p>
        </w:tc>
        <w:tc>
          <w:tcPr>
            <w:tcW w:w="3434"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60%</w:t>
            </w:r>
          </w:p>
        </w:tc>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color w:val="000000"/>
              </w:rPr>
            </w:pPr>
            <w:r>
              <w:rPr>
                <w:color w:val="000000"/>
              </w:rPr>
              <w:t>—</w:t>
            </w:r>
          </w:p>
        </w:tc>
      </w:tr>
      <w:tr>
        <w:trPr/>
        <w:tc>
          <w:tcPr>
            <w:tcW w:w="181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Zales</w:t>
            </w:r>
          </w:p>
        </w:tc>
        <w:tc>
          <w:tcPr>
            <w:tcW w:w="1868"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$ 460,000</w:t>
            </w:r>
          </w:p>
        </w:tc>
        <w:tc>
          <w:tcPr>
            <w:tcW w:w="3434"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81%</w:t>
            </w:r>
          </w:p>
        </w:tc>
        <w:tc>
          <w:tcPr>
            <w:tcW w:w="3087"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7.0%</w:t>
            </w:r>
          </w:p>
        </w:tc>
      </w:tr>
    </w:tbl>
    <w:p>
      <w:pPr>
        <w:pStyle w:val="TextBody"/>
        <w:bidi w:val="0"/>
        <w:jc w:val="left"/>
        <w:rPr/>
      </w:pPr>
      <w:r>
        <w:rPr/>
        <w:t> </w:t>
      </w:r>
    </w:p>
    <w:p>
      <w:pPr>
        <w:pStyle w:val="TextBody"/>
        <w:bidi w:val="0"/>
        <w:spacing w:before="0" w:after="0"/>
        <w:jc w:val="both"/>
        <w:rPr>
          <w:rFonts w:ascii="Outfit" w:hAnsi="Outfit"/>
          <w:color w:val="000000"/>
          <w:sz w:val="20"/>
        </w:rPr>
      </w:pPr>
      <w:r>
        <w:rPr>
          <w:rFonts w:ascii="Outfit" w:hAnsi="Outfit"/>
          <w:color w:val="000000"/>
          <w:sz w:val="20"/>
        </w:rPr>
        <w:t>(1)</w:t>
      </w:r>
    </w:p>
    <w:p>
      <w:pPr>
        <w:pStyle w:val="TextBody"/>
        <w:bidi w:val="0"/>
        <w:jc w:val="both"/>
        <w:rPr>
          <w:rFonts w:ascii="Outfit;sans-serif" w:hAnsi="Outfit;sans-serif"/>
          <w:color w:val="000000"/>
          <w:sz w:val="20"/>
        </w:rPr>
      </w:pPr>
      <w:r>
        <w:rPr>
          <w:rFonts w:ascii="Outfit;sans-serif" w:hAnsi="Outfit;sans-serif"/>
          <w:color w:val="000000"/>
          <w:sz w:val="20"/>
        </w:rPr>
        <w:t xml:space="preserve">The Compensation Committee determined our named executive officers’ target annual cash incentive award opportunities for 2025 as a part of its annual practice of conducting a competitive market analysis of peer group </w:t>
      </w:r>
    </w:p>
    <w:p>
      <w:pPr>
        <w:pStyle w:val="TextBody"/>
        <w:bidi w:val="0"/>
        <w:jc w:val="center"/>
        <w:rPr>
          <w:rFonts w:ascii="Outfit;sans-serif" w:hAnsi="Outfit;sans-serif"/>
          <w:color w:val="000000"/>
          <w:sz w:val="22"/>
        </w:rPr>
      </w:pPr>
      <w:r>
        <w:rPr>
          <w:rFonts w:ascii="Outfit;sans-serif" w:hAnsi="Outfit;sans-serif"/>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0"/>
        <w:jc w:val="both"/>
        <w:rPr>
          <w:rFonts w:ascii="Outfit;sans-serif" w:hAnsi="Outfit;sans-serif"/>
          <w:color w:val="000000"/>
          <w:sz w:val="20"/>
        </w:rPr>
      </w:pPr>
      <w:r>
        <w:rPr>
          <w:rFonts w:ascii="Outfit;sans-serif" w:hAnsi="Outfit;sans-serif"/>
          <w:color w:val="000000"/>
          <w:sz w:val="20"/>
        </w:rPr>
        <w:t>executive pay practices. The Compensation Committee considered that higher target annual cash incentive award opportunities result in more “at-risk” compensation.</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Ms. Palazzo stepped down as our Chief Financial Officer and Treasurer on March 7, 2025, and, as a result, was ineligible to receive an annual cash incentive award under the 2025 Annual Incentive Plan.</w:t>
      </w:r>
    </w:p>
    <w:p>
      <w:pPr>
        <w:pStyle w:val="TextBody"/>
        <w:bidi w:val="0"/>
        <w:spacing w:before="120" w:after="283"/>
        <w:jc w:val="both"/>
        <w:rPr>
          <w:rFonts w:ascii="Outfit" w:hAnsi="Outfit"/>
          <w:color w:val="000000"/>
          <w:sz w:val="20"/>
        </w:rPr>
      </w:pPr>
      <w:r>
        <w:rPr>
          <w:rFonts w:ascii="Outfit" w:hAnsi="Outfit"/>
          <w:color w:val="000000"/>
          <w:sz w:val="20"/>
        </w:rPr>
        <w:t>(3)</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At Mr. Steinert’s request, to demonstrate his confidence in the Company and to continue to align his interests with those of our stockholders, the Compensation Committee continued to consider Mr. Steinert ineligible to receive an annual cash incentive award under the 2025 Annual Incentive Plan.</w:t>
      </w:r>
    </w:p>
    <w:p>
      <w:pPr>
        <w:pStyle w:val="TextBody"/>
        <w:bidi w:val="0"/>
        <w:spacing w:before="120" w:after="120"/>
        <w:jc w:val="both"/>
        <w:rPr>
          <w:rFonts w:ascii="Outfit;sans-serif" w:hAnsi="Outfit;sans-serif"/>
          <w:color w:val="000000"/>
          <w:sz w:val="22"/>
        </w:rPr>
      </w:pPr>
      <w:r>
        <w:rPr>
          <w:rFonts w:ascii="Outfit;sans-serif" w:hAnsi="Outfit;sans-serif"/>
          <w:color w:val="000000"/>
          <w:sz w:val="22"/>
        </w:rPr>
        <w:t>The amount actually paid to a participant could be more or less than the participant’s target annual cash incentive award opportunity, depending on the extent to which applicable performance goals were satisfied. Consistent with prior years, for 2025 the Compensation Committee determined that annual cash incentive awards for such year would be paid to our named executive officers in two installments rather than in one lump sum, whereby (i) 40% of each named executive officer’s target annual cash incentive award opportunity would be paid in an initial lump sum payment following completion of our second fiscal quarter of 2025 (the First Half 2025 Payment) and (ii) the remainder of each named executive officer’s full-year annual cash incentive award would be paid in a lump sum payment following the end of 2025 based on the Compensation Committee’s evaluation of our actual performance for the full year as measured against the achievement of the pre-established corporate and individual performance goals described below (the Second Half 2025 Payment). The Compensation Committee has traditionally determined that annual cash incentive awards would be paid in two installments to align with the incentive plan for our broader employee base, which awards a portion of employees’ bonuses mid-year for retention purposes.</w:t>
      </w:r>
    </w:p>
    <w:p>
      <w:pPr>
        <w:pStyle w:val="TextBody"/>
        <w:bidi w:val="0"/>
        <w:spacing w:before="0" w:after="120"/>
        <w:jc w:val="both"/>
        <w:rPr>
          <w:rFonts w:ascii="Outfit;sans-serif" w:hAnsi="Outfit;sans-serif"/>
          <w:color w:val="3465B0"/>
          <w:sz w:val="22"/>
        </w:rPr>
      </w:pPr>
      <w:r>
        <w:rPr>
          <w:rFonts w:ascii="Outfit;sans-serif" w:hAnsi="Outfit;sans-serif"/>
          <w:color w:val="3465B0"/>
          <w:sz w:val="22"/>
        </w:rPr>
        <w:t>Corporate Strategic Objectives</w:t>
      </w:r>
    </w:p>
    <w:p>
      <w:pPr>
        <w:pStyle w:val="TextBody"/>
        <w:bidi w:val="0"/>
        <w:spacing w:before="0" w:after="120"/>
        <w:jc w:val="both"/>
        <w:rPr>
          <w:rFonts w:ascii="Times New Roman" w:hAnsi="Times New Roman"/>
          <w:sz w:val="20"/>
        </w:rPr>
      </w:pPr>
      <w:r>
        <w:rPr>
          <w:rFonts w:ascii="Outfit;sans-serif" w:hAnsi="Outfit;sans-serif"/>
          <w:color w:val="000000"/>
          <w:sz w:val="22"/>
        </w:rPr>
        <w:t>The Board approves annual strategic objectives for the Company, which are formulated by management to reflect the Company’s goals for that year, and the Compensation Committee utilizes these initiatives as the business performance goals upon which annual cash incentive award payouts are based. The 2025 strategic objectives involved delivering an exceptional and value-driven consumer experience, empowering dealers to increase profitability through quality consumer connections and actionable insights, strengthening our data capabilities to improve customer insights and engagement, and activities related to employee accountability and growth. Each of these initiative categories involved one or more quantitative and qualitative metrics as established by our management that had to be successfully completed for that portion of the initiative to be considered achieved.</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For 2025 the threshold, target, and maximum performance levels for the strategic objectives actually achieved and the corresponding payout levels on a sliding scale under the 2025 Annual Incentive Plan were established as follows:</w:t>
      </w:r>
    </w:p>
    <w:tbl>
      <w:tblPr>
        <w:tblW w:w="8163" w:type="dxa"/>
        <w:jc w:val="left"/>
        <w:tblInd w:w="0" w:type="dxa"/>
        <w:tblLayout w:type="fixed"/>
        <w:tblCellMar>
          <w:top w:w="28" w:type="dxa"/>
          <w:left w:w="28" w:type="dxa"/>
          <w:bottom w:w="28" w:type="dxa"/>
          <w:right w:w="28" w:type="dxa"/>
        </w:tblCellMar>
      </w:tblPr>
      <w:tblGrid>
        <w:gridCol w:w="2896"/>
        <w:gridCol w:w="2476"/>
        <w:gridCol w:w="2791"/>
      </w:tblGrid>
      <w:tr>
        <w:trPr/>
        <w:tc>
          <w:tcPr>
            <w:tcW w:w="289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Measure</w:t>
            </w:r>
          </w:p>
        </w:tc>
        <w:tc>
          <w:tcPr>
            <w:tcW w:w="24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Level</w:t>
            </w:r>
          </w:p>
        </w:tc>
        <w:tc>
          <w:tcPr>
            <w:tcW w:w="2791"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Payout Percentage</w:t>
            </w:r>
          </w:p>
        </w:tc>
      </w:tr>
      <w:tr>
        <w:trPr/>
        <w:tc>
          <w:tcPr>
            <w:tcW w:w="2896" w:type="dxa"/>
            <w:vMerge w:val="restart"/>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Strategic Objectives</w:t>
            </w:r>
          </w:p>
        </w:tc>
        <w:tc>
          <w:tcPr>
            <w:tcW w:w="2476" w:type="dxa"/>
            <w:tcBorders/>
            <w:shd w:fill="D9E1E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color w:val="000000"/>
                <w:sz w:val="22"/>
              </w:rPr>
              <w:t>Threshold (27%)</w:t>
            </w:r>
            <w:r>
              <w:rPr>
                <w:rFonts w:ascii="Outfit;sans-serif" w:hAnsi="Outfit;sans-serif"/>
                <w:color w:val="000000"/>
                <w:sz w:val="15"/>
              </w:rPr>
              <w:t>(1)</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0%</w:t>
            </w:r>
          </w:p>
        </w:tc>
      </w:tr>
      <w:tr>
        <w:trPr/>
        <w:tc>
          <w:tcPr>
            <w:tcW w:w="289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247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Target (65%)</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100%</w:t>
            </w:r>
          </w:p>
        </w:tc>
      </w:tr>
      <w:tr>
        <w:trPr/>
        <w:tc>
          <w:tcPr>
            <w:tcW w:w="289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247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Maximum (100%)</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150%</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There was to be no payout under the strategic objective performance measure for performance that did not meet the threshold level criteria.</w:t>
      </w:r>
    </w:p>
    <w:p>
      <w:pPr>
        <w:pStyle w:val="TextBody"/>
        <w:bidi w:val="0"/>
        <w:spacing w:before="120" w:after="120"/>
        <w:jc w:val="both"/>
        <w:rPr>
          <w:rFonts w:ascii="Outfit;sans-serif" w:hAnsi="Outfit;sans-serif"/>
          <w:color w:val="3465B0"/>
          <w:sz w:val="22"/>
        </w:rPr>
      </w:pPr>
      <w:r>
        <w:rPr>
          <w:rFonts w:ascii="Outfit;sans-serif" w:hAnsi="Outfit;sans-serif"/>
          <w:color w:val="3465B0"/>
          <w:sz w:val="22"/>
        </w:rPr>
        <w:t>Corporate Financial Performance Goals</w:t>
      </w:r>
    </w:p>
    <w:p>
      <w:pPr>
        <w:pStyle w:val="TextBody"/>
        <w:bidi w:val="0"/>
        <w:spacing w:before="0" w:after="120"/>
        <w:jc w:val="both"/>
        <w:rPr>
          <w:rFonts w:ascii="Times New Roman" w:hAnsi="Times New Roman"/>
          <w:sz w:val="20"/>
        </w:rPr>
      </w:pPr>
      <w:r>
        <w:rPr>
          <w:rFonts w:ascii="Outfit;sans-serif" w:hAnsi="Outfit;sans-serif"/>
          <w:color w:val="000000"/>
          <w:sz w:val="22"/>
        </w:rPr>
        <w:t>The Compensation Committee selected consolidated Gross Profit and consolidated adjusted earnings before interest, taxes, depreciation, and amortization (EBITDA), a non-GAAP financial measure, as the corporate financial performance measures for 2025. For purposes of the 2025 Annual Incentive Plan for our named</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Times New Roman" w:hAnsi="Times New Roman"/>
          <w:sz w:val="20"/>
        </w:rPr>
      </w:pPr>
      <w:r>
        <w:rPr>
          <w:rFonts w:ascii="Outfit;sans-serif" w:hAnsi="Outfit;sans-serif"/>
          <w:color w:val="000000"/>
          <w:sz w:val="22"/>
        </w:rPr>
        <w:t>executive officers, we used consolidated Gross Profit and consolidated adjusted EBITDA, which include the results of discontinued operations relating to CarOffer. Please see our Annual Report for additional information regarding the wind-down of CarOffer.</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threshold, target, and maximum performance levels for consolidated Gross Profit and consolidated adjusted EBITDA, as set forth in our annual operating plan, and the corresponding payout levels on a sliding scale for achievement of such measures for our named executive officers under the 2025 Annual Incentive Plan, were established as follows:</w:t>
      </w:r>
    </w:p>
    <w:tbl>
      <w:tblPr>
        <w:tblW w:w="9063" w:type="dxa"/>
        <w:jc w:val="left"/>
        <w:tblInd w:w="0" w:type="dxa"/>
        <w:tblLayout w:type="fixed"/>
        <w:tblCellMar>
          <w:top w:w="28" w:type="dxa"/>
          <w:left w:w="28" w:type="dxa"/>
          <w:bottom w:w="28" w:type="dxa"/>
          <w:right w:w="28" w:type="dxa"/>
        </w:tblCellMar>
      </w:tblPr>
      <w:tblGrid>
        <w:gridCol w:w="3796"/>
        <w:gridCol w:w="2476"/>
        <w:gridCol w:w="2791"/>
      </w:tblGrid>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2791" w:type="dxa"/>
            <w:tcBorders/>
            <w:shd w:fill="FFFFFF" w:val="clear"/>
            <w:vAlign w:val="center"/>
          </w:tcPr>
          <w:p>
            <w:pPr>
              <w:pStyle w:val="TableContents"/>
              <w:bidi w:val="0"/>
              <w:spacing w:before="0" w:after="283"/>
              <w:jc w:val="left"/>
              <w:rPr>
                <w:sz w:val="4"/>
                <w:szCs w:val="4"/>
              </w:rPr>
            </w:pPr>
            <w:r>
              <w:rPr>
                <w:sz w:val="4"/>
                <w:szCs w:val="4"/>
              </w:rPr>
            </w:r>
          </w:p>
        </w:tc>
      </w:tr>
      <w:tr>
        <w:trPr/>
        <w:tc>
          <w:tcPr>
            <w:tcW w:w="379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Measure</w:t>
            </w:r>
          </w:p>
        </w:tc>
        <w:tc>
          <w:tcPr>
            <w:tcW w:w="24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Level</w:t>
            </w:r>
          </w:p>
        </w:tc>
        <w:tc>
          <w:tcPr>
            <w:tcW w:w="2791"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Payout Percentage</w:t>
            </w:r>
          </w:p>
        </w:tc>
      </w:tr>
      <w:tr>
        <w:trPr/>
        <w:tc>
          <w:tcPr>
            <w:tcW w:w="3796" w:type="dxa"/>
            <w:vMerge w:val="restart"/>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Consolidated Gross Profit</w:t>
            </w:r>
          </w:p>
        </w:tc>
        <w:tc>
          <w:tcPr>
            <w:tcW w:w="2476" w:type="dxa"/>
            <w:tcBorders/>
            <w:shd w:fill="D9E1E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color w:val="000000"/>
                <w:sz w:val="22"/>
              </w:rPr>
              <w:t>Threshold (70%)</w:t>
            </w:r>
            <w:r>
              <w:rPr>
                <w:rFonts w:ascii="Outfit;sans-serif" w:hAnsi="Outfit;sans-serif"/>
                <w:color w:val="000000"/>
                <w:sz w:val="15"/>
              </w:rPr>
              <w:t>(1)</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0%</w:t>
            </w:r>
          </w:p>
        </w:tc>
      </w:tr>
      <w:tr>
        <w:trPr/>
        <w:tc>
          <w:tcPr>
            <w:tcW w:w="379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247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Target (100%)</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100%</w:t>
            </w:r>
          </w:p>
        </w:tc>
      </w:tr>
      <w:tr>
        <w:trPr/>
        <w:tc>
          <w:tcPr>
            <w:tcW w:w="379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247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Maximum (105%)</w:t>
            </w:r>
          </w:p>
        </w:tc>
        <w:tc>
          <w:tcPr>
            <w:tcW w:w="279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150%</w:t>
            </w:r>
          </w:p>
        </w:tc>
      </w:tr>
      <w:tr>
        <w:trPr/>
        <w:tc>
          <w:tcPr>
            <w:tcW w:w="3796"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Consolidated Adjusted EBITDA</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color w:val="000000"/>
                <w:sz w:val="22"/>
              </w:rPr>
              <w:t>Threshold (70%)</w:t>
            </w:r>
            <w:r>
              <w:rPr>
                <w:rFonts w:ascii="Outfit;sans-serif" w:hAnsi="Outfit;sans-serif"/>
                <w:color w:val="000000"/>
                <w:sz w:val="15"/>
              </w:rPr>
              <w:t>(1)</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0%</w:t>
            </w:r>
          </w:p>
        </w:tc>
      </w:tr>
      <w:tr>
        <w:trPr/>
        <w:tc>
          <w:tcPr>
            <w:tcW w:w="3796" w:type="dxa"/>
            <w:vMerge w:val="continue"/>
            <w:tcBorders/>
            <w:tcMar>
              <w:top w:w="0" w:type="dxa"/>
              <w:left w:w="0" w:type="dxa"/>
              <w:bottom w:w="0" w:type="dxa"/>
              <w:right w:w="0" w:type="dxa"/>
            </w:tcMar>
            <w:vAlign w:val="center"/>
          </w:tcPr>
          <w:p>
            <w:pPr>
              <w:pStyle w:val="Normal"/>
              <w:bidi w:val="0"/>
              <w:jc w:val="left"/>
              <w:rPr/>
            </w:pPr>
            <w:r>
              <w:rPr/>
            </w:r>
          </w:p>
        </w:tc>
        <w:tc>
          <w:tcPr>
            <w:tcW w:w="24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Target (100%)</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100%</w:t>
            </w:r>
          </w:p>
        </w:tc>
      </w:tr>
      <w:tr>
        <w:trPr/>
        <w:tc>
          <w:tcPr>
            <w:tcW w:w="3796" w:type="dxa"/>
            <w:vMerge w:val="continue"/>
            <w:tcBorders/>
            <w:tcMar>
              <w:top w:w="0" w:type="dxa"/>
              <w:left w:w="0" w:type="dxa"/>
              <w:bottom w:w="0" w:type="dxa"/>
              <w:right w:w="0" w:type="dxa"/>
            </w:tcMar>
            <w:vAlign w:val="center"/>
          </w:tcPr>
          <w:p>
            <w:pPr>
              <w:pStyle w:val="Normal"/>
              <w:bidi w:val="0"/>
              <w:jc w:val="left"/>
              <w:rPr/>
            </w:pPr>
            <w:r>
              <w:rPr/>
            </w:r>
          </w:p>
        </w:tc>
        <w:tc>
          <w:tcPr>
            <w:tcW w:w="24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Maximum (115%)</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150%</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There was to be no payout under either the consolidated Gross Profit or consolidated adjusted EBITDA performance measure for performance that did not meet the threshold level criteria.</w:t>
      </w:r>
    </w:p>
    <w:p>
      <w:pPr>
        <w:pStyle w:val="TextBody"/>
        <w:bidi w:val="0"/>
        <w:spacing w:before="120" w:after="120"/>
        <w:jc w:val="both"/>
        <w:rPr>
          <w:rFonts w:ascii="Times New Roman" w:hAnsi="Times New Roman"/>
          <w:sz w:val="20"/>
        </w:rPr>
      </w:pPr>
      <w:r>
        <w:rPr>
          <w:rFonts w:ascii="Outfit;sans-serif" w:hAnsi="Outfit;sans-serif"/>
          <w:color w:val="000000"/>
          <w:sz w:val="22"/>
        </w:rPr>
        <w:t>We calculate consolidated adjusted EBITDA as GAAP consolidated net income, adjusted to exclude: consolidated depreciation and amortization, consolidated stock</w:t>
      </w:r>
      <w:r>
        <w:rPr>
          <w:rFonts w:ascii="Times New Roman" w:hAnsi="Times New Roman"/>
          <w:color w:val="000000"/>
          <w:sz w:val="20"/>
        </w:rPr>
        <w:noBreakHyphen/>
      </w:r>
      <w:r>
        <w:rPr>
          <w:rFonts w:ascii="Outfit;sans-serif" w:hAnsi="Outfit;sans-serif"/>
          <w:color w:val="000000"/>
          <w:sz w:val="22"/>
        </w:rPr>
        <w:t>based compensation expense, consolidated transaction-related expenses, consolidated restructuring expenses, consolidated impairments, consolidated other income, net, and consolidated provision for income taxes.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determined that, for purposes of the 2025 Annual Incentive Plan, these corporate financial measures were the most appropriate performance measures to use in determining annual cash incentive awards for our named executive officers because, in its view, they were the best indicators of our successful execution of our annual operating plan. Thus, the threshold performance levels for these corporate performance measures were the minimum performance levels that had to be achieved before participants could earn any annual cash incentive awards relating to this measure. If the threshold performance level for a particular measure was not achieved, then no award payout would be made under the 2025 Annual Incentive Plan with respect to such measure.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above-referenced performance objectives should not be interpreted as a prediction of how we will perform in future periods. As described above, the purpose of these objectives was to establish a method for determining the payment of annual cash incentive compensation in 2025. You are cautioned not to rely on these performance goals as a prediction of our future performance.</w:t>
      </w:r>
    </w:p>
    <w:p>
      <w:pPr>
        <w:pStyle w:val="TextBody"/>
        <w:bidi w:val="0"/>
        <w:spacing w:before="0" w:after="120"/>
        <w:jc w:val="both"/>
        <w:rPr>
          <w:rFonts w:ascii="Outfit;sans-serif" w:hAnsi="Outfit;sans-serif"/>
          <w:color w:val="3465B0"/>
          <w:sz w:val="22"/>
        </w:rPr>
      </w:pPr>
      <w:r>
        <w:rPr>
          <w:rFonts w:ascii="Outfit;sans-serif" w:hAnsi="Outfit;sans-serif"/>
          <w:color w:val="3465B0"/>
          <w:sz w:val="22"/>
        </w:rPr>
        <w:t>Individual Performance Goals</w:t>
      </w:r>
    </w:p>
    <w:p>
      <w:pPr>
        <w:pStyle w:val="TextBody"/>
        <w:bidi w:val="0"/>
        <w:spacing w:before="0" w:after="120"/>
        <w:jc w:val="both"/>
        <w:rPr>
          <w:rFonts w:ascii="Times New Roman" w:hAnsi="Times New Roman"/>
          <w:sz w:val="20"/>
        </w:rPr>
      </w:pPr>
      <w:r>
        <w:rPr>
          <w:rFonts w:ascii="Outfit;sans-serif" w:hAnsi="Outfit;sans-serif"/>
          <w:color w:val="000000"/>
          <w:sz w:val="22"/>
        </w:rPr>
        <w:t>For purposes of the 2025 Annual Incentive Plan, the Compensation Committee authorized (i) Mr. Steinert to establish one or more individual performance goals for Mr. Trevisan’s annual cash incentive award opportunity and (ii) Mr. Trevisan to establish one or more individual performance goals for each of the other eligible named executive officers as part of the named executive officer’s annual cash incentive award opportunity. As part of our annual performance evaluation process, Messrs. Steinert and Trevisan, after consultation with Mr. Trevisan or each other named executive officer, respectively, established the named executive officer’s performance goals for the year. These performance goals were not intended to be formulaic, but rather to serve as the framework upon which Messrs. Steinert and Trevisan could evaluate the applicable named executive officer’s overall performance. Such performance goals were established with reference to each individual named executive officer’s position or function within the Company and included operational metrics that could reflect corporate or departmental goals or could include specific operational goals with respect to the named executive</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officer’s area of responsibility. These performance goals also included the demonstration of leadership and effective decision-making, effective communication, promotion of our strategic objectives and values, and commitment to excellence and work ethic and could include more specific objectives for the named executive officer, such as the successful completion of major projects and organization capability building.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For our named executive officers in 2025 the Compensation Committee established performance ratings for the individual performance goals achieved and the corresponding payout levels under the 2025 Annual Incentive Plan as follows:</w:t>
      </w:r>
    </w:p>
    <w:tbl>
      <w:tblPr>
        <w:tblW w:w="9633" w:type="dxa"/>
        <w:jc w:val="left"/>
        <w:tblInd w:w="0" w:type="dxa"/>
        <w:tblLayout w:type="fixed"/>
        <w:tblCellMar>
          <w:top w:w="28" w:type="dxa"/>
          <w:left w:w="28" w:type="dxa"/>
          <w:bottom w:w="28" w:type="dxa"/>
          <w:right w:w="28" w:type="dxa"/>
        </w:tblCellMar>
      </w:tblPr>
      <w:tblGrid>
        <w:gridCol w:w="3676"/>
        <w:gridCol w:w="3166"/>
        <w:gridCol w:w="2791"/>
      </w:tblGrid>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279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Measure</w:t>
            </w:r>
          </w:p>
        </w:tc>
        <w:tc>
          <w:tcPr>
            <w:tcW w:w="316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Rating</w:t>
            </w:r>
          </w:p>
        </w:tc>
        <w:tc>
          <w:tcPr>
            <w:tcW w:w="2791"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Payout Percentage</w:t>
            </w:r>
          </w:p>
        </w:tc>
      </w:tr>
      <w:tr>
        <w:trPr/>
        <w:tc>
          <w:tcPr>
            <w:tcW w:w="3676" w:type="dxa"/>
            <w:vMerge w:val="restart"/>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Individual Performance Goals</w:t>
            </w:r>
          </w:p>
        </w:tc>
        <w:tc>
          <w:tcPr>
            <w:tcW w:w="316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Missed Expectations</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0%</w:t>
            </w:r>
          </w:p>
        </w:tc>
      </w:tr>
      <w:tr>
        <w:trPr/>
        <w:tc>
          <w:tcPr>
            <w:tcW w:w="367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316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Partially Met Expectations</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50 – 90%</w:t>
            </w:r>
          </w:p>
        </w:tc>
      </w:tr>
      <w:tr>
        <w:trPr/>
        <w:tc>
          <w:tcPr>
            <w:tcW w:w="367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316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Met Expectations</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90 – 110%</w:t>
            </w:r>
          </w:p>
        </w:tc>
      </w:tr>
      <w:tr>
        <w:trPr/>
        <w:tc>
          <w:tcPr>
            <w:tcW w:w="367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316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Exceeded Expectations</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110 – 130%</w:t>
            </w:r>
          </w:p>
        </w:tc>
      </w:tr>
      <w:tr>
        <w:trPr/>
        <w:tc>
          <w:tcPr>
            <w:tcW w:w="367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3166" w:type="dxa"/>
            <w:tcBorders>
              <w:top w:val="single" w:sz="12" w:space="0" w:color="000000"/>
            </w:tcBorders>
            <w:shd w:fill="D9E1EB" w:val="clear"/>
            <w:tcMar>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Far Exceeded Expectations</w:t>
            </w:r>
          </w:p>
        </w:tc>
        <w:tc>
          <w:tcPr>
            <w:tcW w:w="279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130 – 150%</w:t>
            </w:r>
          </w:p>
        </w:tc>
      </w:tr>
    </w:tbl>
    <w:p>
      <w:pPr>
        <w:pStyle w:val="TextBody"/>
        <w:bidi w:val="0"/>
        <w:spacing w:before="120" w:after="120"/>
        <w:jc w:val="both"/>
        <w:rPr>
          <w:rFonts w:ascii="Outfit;sans-serif" w:hAnsi="Outfit;sans-serif"/>
          <w:color w:val="000000"/>
          <w:sz w:val="22"/>
        </w:rPr>
      </w:pPr>
      <w:r>
        <w:rPr>
          <w:rFonts w:ascii="Outfit;sans-serif" w:hAnsi="Outfit;sans-serif"/>
          <w:color w:val="000000"/>
          <w:sz w:val="22"/>
        </w:rPr>
        <w:t>Our named executive officers were subject to reviews conducted by their respective direct managers at the conclusion of 2025 to evaluate their performance for the year. These evaluations were the basis for the assessment of their performance rating against the pre-established individual performance goals.</w:t>
      </w:r>
    </w:p>
    <w:p>
      <w:pPr>
        <w:pStyle w:val="TextBody"/>
        <w:bidi w:val="0"/>
        <w:jc w:val="center"/>
        <w:rPr>
          <w:rFonts w:ascii="Outfit;sans-serif" w:hAnsi="Outfit;sans-serif"/>
          <w:color w:val="000000"/>
          <w:sz w:val="22"/>
        </w:rPr>
      </w:pPr>
      <w:r>
        <w:rPr>
          <w:rFonts w:ascii="Outfit;sans-serif" w:hAnsi="Outfit;sans-serif"/>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3465B0"/>
          <w:sz w:val="22"/>
        </w:rPr>
      </w:pPr>
      <w:r>
        <w:rPr>
          <w:rFonts w:ascii="Outfit;sans-serif" w:hAnsi="Outfit;sans-serif"/>
          <w:color w:val="3465B0"/>
          <w:sz w:val="22"/>
        </w:rPr>
        <w:t>Weighting of Performance Goals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February 2025, in connection with establishing the corporate and individual performance goals for the year, the Compensation Committee determined the relative weighting for our named executive officers with respect to the strategic objectives, the corporate financial performance goals, and the individual performance goals. For purposes of the 2025 Annual Incentive Plan, the weighting of the performance objectives and goals for our named executive officers was as follows:</w:t>
      </w:r>
    </w:p>
    <w:tbl>
      <w:tblPr>
        <w:tblW w:w="5507" w:type="dxa"/>
        <w:jc w:val="left"/>
        <w:tblInd w:w="0" w:type="dxa"/>
        <w:tblLayout w:type="fixed"/>
        <w:tblCellMar>
          <w:top w:w="28" w:type="dxa"/>
          <w:left w:w="28" w:type="dxa"/>
          <w:bottom w:w="28" w:type="dxa"/>
          <w:right w:w="28" w:type="dxa"/>
        </w:tblCellMar>
      </w:tblPr>
      <w:tblGrid>
        <w:gridCol w:w="3796"/>
        <w:gridCol w:w="1711"/>
      </w:tblGrid>
      <w:tr>
        <w:trPr/>
        <w:tc>
          <w:tcPr>
            <w:tcW w:w="379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79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Measure</w:t>
            </w:r>
          </w:p>
        </w:tc>
        <w:tc>
          <w:tcPr>
            <w:tcW w:w="1711"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Weighting</w:t>
            </w:r>
          </w:p>
        </w:tc>
      </w:tr>
      <w:tr>
        <w:trPr/>
        <w:tc>
          <w:tcPr>
            <w:tcW w:w="379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Strategic Objectives</w:t>
            </w:r>
          </w:p>
        </w:tc>
        <w:tc>
          <w:tcPr>
            <w:tcW w:w="171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15%</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Consolidated Gross Profit</w:t>
            </w:r>
          </w:p>
        </w:tc>
        <w:tc>
          <w:tcPr>
            <w:tcW w:w="171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35%</w:t>
            </w:r>
          </w:p>
        </w:tc>
      </w:tr>
      <w:tr>
        <w:trPr/>
        <w:tc>
          <w:tcPr>
            <w:tcW w:w="379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Consolidated Adjusted EBITDA</w:t>
            </w:r>
          </w:p>
        </w:tc>
        <w:tc>
          <w:tcPr>
            <w:tcW w:w="171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35%</w:t>
            </w:r>
          </w:p>
        </w:tc>
      </w:tr>
      <w:tr>
        <w:trPr/>
        <w:tc>
          <w:tcPr>
            <w:tcW w:w="379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Individual Performance Goals</w:t>
            </w:r>
          </w:p>
        </w:tc>
        <w:tc>
          <w:tcPr>
            <w:tcW w:w="171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15%</w:t>
            </w:r>
          </w:p>
        </w:tc>
      </w:tr>
    </w:tbl>
    <w:p>
      <w:pPr>
        <w:pStyle w:val="TextBody"/>
        <w:bidi w:val="0"/>
        <w:spacing w:before="120" w:after="120"/>
        <w:jc w:val="both"/>
        <w:rPr>
          <w:rFonts w:ascii="Outfit;sans-serif" w:hAnsi="Outfit;sans-serif"/>
          <w:color w:val="3465B0"/>
          <w:sz w:val="22"/>
        </w:rPr>
      </w:pPr>
      <w:r>
        <w:rPr>
          <w:rFonts w:ascii="Outfit;sans-serif" w:hAnsi="Outfit;sans-serif"/>
          <w:color w:val="3465B0"/>
          <w:sz w:val="22"/>
        </w:rPr>
        <w:t>2025 Annual Cash Incentive Award Results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determined and approved the First Half 2025 Payments for our named executive officers as follows:</w:t>
      </w:r>
    </w:p>
    <w:tbl>
      <w:tblPr>
        <w:tblW w:w="7456" w:type="dxa"/>
        <w:jc w:val="left"/>
        <w:tblInd w:w="0" w:type="dxa"/>
        <w:tblLayout w:type="fixed"/>
        <w:tblCellMar>
          <w:top w:w="28" w:type="dxa"/>
          <w:left w:w="28" w:type="dxa"/>
          <w:bottom w:w="28" w:type="dxa"/>
          <w:right w:w="28" w:type="dxa"/>
        </w:tblCellMar>
      </w:tblPr>
      <w:tblGrid>
        <w:gridCol w:w="3241"/>
        <w:gridCol w:w="665"/>
        <w:gridCol w:w="3550"/>
      </w:tblGrid>
      <w:tr>
        <w:trPr/>
        <w:tc>
          <w:tcPr>
            <w:tcW w:w="324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Named Executive Officer</w:t>
            </w:r>
          </w:p>
        </w:tc>
        <w:tc>
          <w:tcPr>
            <w:tcW w:w="4215" w:type="dxa"/>
            <w:gridSpan w:val="2"/>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Actual Cash Incentive Award</w:t>
              <w:br/>
              <w:t>for First Half of 2025 Payment</w:t>
              <w:br/>
              <w:t>(40% of Annual Target Award)</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Trevisan</w:t>
            </w:r>
          </w:p>
        </w:tc>
        <w:tc>
          <w:tcPr>
            <w:tcW w:w="66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3550"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262,000</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Ms. Palazzo</w:t>
            </w:r>
            <w:r>
              <w:rPr>
                <w:rFonts w:ascii="Outfit;sans-serif" w:hAnsi="Outfit;sans-serif"/>
                <w:color w:val="000000"/>
                <w:sz w:val="15"/>
              </w:rPr>
              <w:t>(1)</w:t>
            </w:r>
          </w:p>
        </w:tc>
        <w:tc>
          <w:tcPr>
            <w:tcW w:w="665" w:type="dxa"/>
            <w:tcBorders/>
            <w:shd w:fill="FFFFFF" w:val="clear"/>
            <w:tcMar>
              <w:top w:w="0" w:type="dxa"/>
              <w:left w:w="0" w:type="dxa"/>
              <w:bottom w:w="0" w:type="dxa"/>
              <w:right w:w="0" w:type="dxa"/>
            </w:tcMar>
            <w:vAlign w:val="center"/>
          </w:tcPr>
          <w:p>
            <w:pPr>
              <w:pStyle w:val="TableContents"/>
              <w:bidi w:val="0"/>
              <w:spacing w:before="0" w:after="20"/>
              <w:jc w:val="right"/>
              <w:rPr/>
            </w:pPr>
            <w:r>
              <w:rPr/>
              <w:t> </w:t>
            </w:r>
          </w:p>
        </w:tc>
        <w:tc>
          <w:tcPr>
            <w:tcW w:w="3550"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Mr. Steinert</w:t>
            </w:r>
            <w:r>
              <w:rPr>
                <w:rFonts w:ascii="Outfit;sans-serif" w:hAnsi="Outfit;sans-serif"/>
                <w:color w:val="000000"/>
                <w:sz w:val="15"/>
              </w:rPr>
              <w:t>(2)</w:t>
            </w:r>
          </w:p>
        </w:tc>
        <w:tc>
          <w:tcPr>
            <w:tcW w:w="665"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3550"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Quinn</w:t>
            </w:r>
          </w:p>
        </w:tc>
        <w:tc>
          <w:tcPr>
            <w:tcW w:w="665"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3550"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100,000</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Zales</w:t>
            </w:r>
          </w:p>
        </w:tc>
        <w:tc>
          <w:tcPr>
            <w:tcW w:w="66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3550"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184,000</w:t>
            </w:r>
          </w:p>
        </w:tc>
      </w:tr>
    </w:tbl>
    <w:p>
      <w:pPr>
        <w:pStyle w:val="TextBody"/>
        <w:bidi w:val="0"/>
        <w:spacing w:before="0" w:after="120"/>
        <w:jc w:val="left"/>
        <w:rPr/>
      </w:pPr>
      <w:r>
        <w:rPr/>
        <w:t> </w:t>
      </w:r>
    </w:p>
    <w:p>
      <w:pPr>
        <w:pStyle w:val="TextBody"/>
        <w:bidi w:val="0"/>
        <w:spacing w:before="0" w:after="0"/>
        <w:jc w:val="both"/>
        <w:rPr>
          <w:rFonts w:ascii="Outfit" w:hAnsi="Outfit"/>
          <w:color w:val="000000"/>
          <w:sz w:val="20"/>
        </w:rPr>
      </w:pPr>
      <w:r>
        <w:rPr>
          <w:rFonts w:ascii="Outfit" w:hAnsi="Outfit"/>
          <w:color w:val="000000"/>
          <w:sz w:val="20"/>
        </w:rPr>
        <w:t>(1)</w:t>
      </w:r>
    </w:p>
    <w:p>
      <w:pPr>
        <w:pStyle w:val="TextBody"/>
        <w:bidi w:val="0"/>
        <w:spacing w:before="0" w:after="0"/>
        <w:jc w:val="both"/>
        <w:rPr>
          <w:rFonts w:ascii="Outfit;sans-serif" w:hAnsi="Outfit;sans-serif"/>
          <w:color w:val="000000"/>
          <w:sz w:val="20"/>
        </w:rPr>
      </w:pPr>
      <w:r>
        <w:rPr>
          <w:rFonts w:ascii="Outfit;sans-serif" w:hAnsi="Outfit;sans-serif"/>
          <w:color w:val="000000"/>
          <w:sz w:val="20"/>
        </w:rPr>
        <w:t>Ms. Palazzo stepped down as our Chief Financial Officer and Treasurer on March 7, 2025, and, as a result, was ineligible to receive an annual cash incentive award under the 2025 Annual Incentive Plan.</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At Mr. Steinert’s request, to demonstrate his confidence in the Company and to continue to align his interests with those of our stockholders, the Compensation Committee continued to consider Mr. Steinert ineligible to receive an annual cash incentive award under the 2025 Annual Incentive Plan.</w:t>
      </w:r>
    </w:p>
    <w:p>
      <w:pPr>
        <w:pStyle w:val="TextBody"/>
        <w:bidi w:val="0"/>
        <w:spacing w:before="120" w:after="120"/>
        <w:jc w:val="both"/>
        <w:rPr>
          <w:rFonts w:ascii="Outfit;sans-serif" w:hAnsi="Outfit;sans-serif"/>
          <w:color w:val="000000"/>
          <w:sz w:val="22"/>
        </w:rPr>
      </w:pPr>
      <w:r>
        <w:rPr>
          <w:rFonts w:ascii="Outfit;sans-serif" w:hAnsi="Outfit;sans-serif"/>
          <w:color w:val="000000"/>
          <w:sz w:val="22"/>
        </w:rPr>
        <w:t>In February 2026 the Compensation Committee determined and approved the Second Half 2025 Payments based on the appropriate total amounts to be paid to our named executive officers under the 2025 Annual Incentive Plan based on our actual performance for 2025 with respect to each strategic objective and corporate financial performance goal and each named executive officer’s individual performance against the named executive officer’s distinct performance goals. For 2025 the actual results against the targets set for the corporate components under the 2025 Annual Incentive Plan were as follows:</w:t>
      </w:r>
    </w:p>
    <w:tbl>
      <w:tblPr>
        <w:tblW w:w="10205" w:type="dxa"/>
        <w:jc w:val="left"/>
        <w:tblInd w:w="0" w:type="dxa"/>
        <w:tblLayout w:type="fixed"/>
        <w:tblCellMar>
          <w:top w:w="28" w:type="dxa"/>
          <w:left w:w="28" w:type="dxa"/>
          <w:bottom w:w="28" w:type="dxa"/>
          <w:right w:w="28" w:type="dxa"/>
        </w:tblCellMar>
      </w:tblPr>
      <w:tblGrid>
        <w:gridCol w:w="3480"/>
        <w:gridCol w:w="4087"/>
        <w:gridCol w:w="2638"/>
      </w:tblGrid>
      <w:tr>
        <w:trPr/>
        <w:tc>
          <w:tcPr>
            <w:tcW w:w="3480"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r>
      <w:tr>
        <w:trPr/>
        <w:tc>
          <w:tcPr>
            <w:tcW w:w="3480"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Performance Measure</w:t>
            </w:r>
          </w:p>
        </w:tc>
        <w:tc>
          <w:tcPr>
            <w:tcW w:w="408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Achievement Percentage or Rating</w:t>
            </w:r>
          </w:p>
        </w:tc>
        <w:tc>
          <w:tcPr>
            <w:tcW w:w="2638"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Payout Percentage</w:t>
            </w:r>
          </w:p>
        </w:tc>
      </w:tr>
      <w:tr>
        <w:trPr/>
        <w:tc>
          <w:tcPr>
            <w:tcW w:w="3480"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Strategic Objectives</w:t>
            </w:r>
          </w:p>
        </w:tc>
        <w:tc>
          <w:tcPr>
            <w:tcW w:w="4087"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64.0%</w:t>
            </w:r>
          </w:p>
        </w:tc>
        <w:tc>
          <w:tcPr>
            <w:tcW w:w="2638"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98.2%</w:t>
            </w:r>
          </w:p>
        </w:tc>
      </w:tr>
      <w:tr>
        <w:trPr/>
        <w:tc>
          <w:tcPr>
            <w:tcW w:w="3480"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Consolidated Gross Profit</w:t>
            </w:r>
          </w:p>
        </w:tc>
        <w:tc>
          <w:tcPr>
            <w:tcW w:w="4087"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100.0%</w:t>
            </w:r>
          </w:p>
        </w:tc>
        <w:tc>
          <w:tcPr>
            <w:tcW w:w="2638"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100.0%</w:t>
            </w:r>
          </w:p>
        </w:tc>
      </w:tr>
      <w:tr>
        <w:trPr/>
        <w:tc>
          <w:tcPr>
            <w:tcW w:w="3480"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Consolidated Adjusted EBITDA</w:t>
            </w:r>
          </w:p>
        </w:tc>
        <w:tc>
          <w:tcPr>
            <w:tcW w:w="4087"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102.2%</w:t>
            </w:r>
          </w:p>
        </w:tc>
        <w:tc>
          <w:tcPr>
            <w:tcW w:w="2638"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107.3%</w:t>
            </w:r>
          </w:p>
        </w:tc>
      </w:tr>
      <w:tr>
        <w:trPr/>
        <w:tc>
          <w:tcPr>
            <w:tcW w:w="3480"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Individual Performance Goals</w:t>
            </w:r>
          </w:p>
        </w:tc>
        <w:tc>
          <w:tcPr>
            <w:tcW w:w="4087"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w:t>
            </w:r>
          </w:p>
        </w:tc>
        <w:tc>
          <w:tcPr>
            <w:tcW w:w="2638"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Performance ratings and corresponding payout percentages for each named executive officer varied based on the 2025 performance reviews conducted for each such individual.</w:t>
      </w:r>
    </w:p>
    <w:p>
      <w:pPr>
        <w:pStyle w:val="TextBody"/>
        <w:bidi w:val="0"/>
        <w:jc w:val="center"/>
        <w:rPr>
          <w:rFonts w:ascii="Outfit;sans-serif" w:hAnsi="Outfit;sans-serif"/>
          <w:color w:val="000000"/>
          <w:sz w:val="22"/>
        </w:rPr>
      </w:pPr>
      <w:r>
        <w:rPr>
          <w:rFonts w:ascii="Outfit;sans-serif" w:hAnsi="Outfit;sans-serif"/>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Times New Roman" w:hAnsi="Times New Roman"/>
          <w:sz w:val="20"/>
        </w:rPr>
      </w:pPr>
      <w:r>
        <w:rPr>
          <w:rFonts w:ascii="Outfit;sans-serif" w:hAnsi="Outfit;sans-serif"/>
          <w:color w:val="000000"/>
          <w:sz w:val="22"/>
        </w:rPr>
        <w:t>The target annual cash incentive award opportunities and the actual cash incentive award payments (inclusive of the First Half 2025 Payments) made to our named executive officers for 2025 were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58"/>
        <w:gridCol w:w="499"/>
        <w:gridCol w:w="2110"/>
        <w:gridCol w:w="146"/>
        <w:gridCol w:w="498"/>
        <w:gridCol w:w="2106"/>
        <w:gridCol w:w="2788"/>
      </w:tblGrid>
      <w:tr>
        <w:trPr/>
        <w:tc>
          <w:tcPr>
            <w:tcW w:w="2058" w:type="dxa"/>
            <w:tcBorders/>
            <w:shd w:fill="FFFFFF" w:val="clear"/>
            <w:vAlign w:val="center"/>
          </w:tcPr>
          <w:p>
            <w:pPr>
              <w:pStyle w:val="TableContents"/>
              <w:bidi w:val="0"/>
              <w:spacing w:before="0" w:after="283"/>
              <w:jc w:val="left"/>
              <w:rPr>
                <w:sz w:val="4"/>
                <w:szCs w:val="4"/>
              </w:rPr>
            </w:pPr>
            <w:r>
              <w:rPr>
                <w:sz w:val="4"/>
                <w:szCs w:val="4"/>
              </w:rPr>
            </w:r>
          </w:p>
        </w:tc>
        <w:tc>
          <w:tcPr>
            <w:tcW w:w="499" w:type="dxa"/>
            <w:tcBorders/>
            <w:shd w:fill="FFFFFF" w:val="clear"/>
            <w:vAlign w:val="center"/>
          </w:tcPr>
          <w:p>
            <w:pPr>
              <w:pStyle w:val="TableContents"/>
              <w:bidi w:val="0"/>
              <w:spacing w:before="0" w:after="283"/>
              <w:jc w:val="left"/>
              <w:rPr>
                <w:sz w:val="4"/>
                <w:szCs w:val="4"/>
              </w:rPr>
            </w:pPr>
            <w:r>
              <w:rPr>
                <w:sz w:val="4"/>
                <w:szCs w:val="4"/>
              </w:rPr>
            </w:r>
          </w:p>
        </w:tc>
        <w:tc>
          <w:tcPr>
            <w:tcW w:w="21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8" w:type="dxa"/>
            <w:tcBorders/>
            <w:shd w:fill="FFFFFF" w:val="clear"/>
            <w:vAlign w:val="center"/>
          </w:tcPr>
          <w:p>
            <w:pPr>
              <w:pStyle w:val="TableContents"/>
              <w:bidi w:val="0"/>
              <w:spacing w:before="0" w:after="283"/>
              <w:jc w:val="left"/>
              <w:rPr>
                <w:sz w:val="4"/>
                <w:szCs w:val="4"/>
              </w:rPr>
            </w:pPr>
            <w:r>
              <w:rPr>
                <w:sz w:val="4"/>
                <w:szCs w:val="4"/>
              </w:rPr>
            </w:r>
          </w:p>
        </w:tc>
        <w:tc>
          <w:tcPr>
            <w:tcW w:w="2106" w:type="dxa"/>
            <w:tcBorders/>
            <w:shd w:fill="FFFFFF" w:val="clear"/>
            <w:vAlign w:val="center"/>
          </w:tcPr>
          <w:p>
            <w:pPr>
              <w:pStyle w:val="TableContents"/>
              <w:bidi w:val="0"/>
              <w:spacing w:before="0" w:after="283"/>
              <w:jc w:val="left"/>
              <w:rPr>
                <w:sz w:val="4"/>
                <w:szCs w:val="4"/>
              </w:rPr>
            </w:pPr>
            <w:r>
              <w:rPr>
                <w:sz w:val="4"/>
                <w:szCs w:val="4"/>
              </w:rPr>
            </w:r>
          </w:p>
        </w:tc>
        <w:tc>
          <w:tcPr>
            <w:tcW w:w="2788" w:type="dxa"/>
            <w:tcBorders/>
            <w:shd w:fill="FFFFFF" w:val="clear"/>
            <w:vAlign w:val="center"/>
          </w:tcPr>
          <w:p>
            <w:pPr>
              <w:pStyle w:val="TableContents"/>
              <w:bidi w:val="0"/>
              <w:spacing w:before="0" w:after="283"/>
              <w:jc w:val="left"/>
              <w:rPr>
                <w:sz w:val="4"/>
                <w:szCs w:val="4"/>
              </w:rPr>
            </w:pPr>
            <w:r>
              <w:rPr>
                <w:sz w:val="4"/>
                <w:szCs w:val="4"/>
              </w:rPr>
            </w:r>
          </w:p>
        </w:tc>
      </w:tr>
      <w:tr>
        <w:trPr/>
        <w:tc>
          <w:tcPr>
            <w:tcW w:w="2058"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Named Executive Officer</w:t>
            </w:r>
          </w:p>
        </w:tc>
        <w:tc>
          <w:tcPr>
            <w:tcW w:w="2609"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Target Annual Cash Incentive Award</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2604"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Actual Annual Cash Incentive Award</w:t>
            </w:r>
          </w:p>
        </w:tc>
        <w:tc>
          <w:tcPr>
            <w:tcW w:w="2788"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22"/>
              </w:rPr>
            </w:pPr>
            <w:r>
              <w:rPr>
                <w:rFonts w:ascii="Outfit;sans-serif" w:hAnsi="Outfit;sans-serif"/>
                <w:b/>
                <w:color w:val="3465B0"/>
                <w:sz w:val="22"/>
              </w:rPr>
              <w:t>Percentage of</w:t>
              <w:br/>
              <w:t>Target Annual Cash Incentive Award</w:t>
            </w:r>
          </w:p>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Actually Paid</w:t>
            </w:r>
          </w:p>
        </w:tc>
      </w:tr>
      <w:tr>
        <w:trPr/>
        <w:tc>
          <w:tcPr>
            <w:tcW w:w="205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Trevisan</w:t>
            </w:r>
          </w:p>
        </w:tc>
        <w:tc>
          <w:tcPr>
            <w:tcW w:w="499"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110"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655,000</w:t>
            </w:r>
          </w:p>
        </w:tc>
        <w:tc>
          <w:tcPr>
            <w:tcW w:w="146" w:type="dxa"/>
            <w:tcBorders/>
            <w:shd w:fill="D9E1EB" w:val="clear"/>
            <w:tcMar>
              <w:top w:w="0" w:type="dxa"/>
              <w:left w:w="0" w:type="dxa"/>
              <w:bottom w:w="0" w:type="dxa"/>
              <w:right w:w="0" w:type="dxa"/>
            </w:tcMar>
            <w:vAlign w:val="center"/>
          </w:tcPr>
          <w:p>
            <w:pPr>
              <w:pStyle w:val="TableContents"/>
              <w:bidi w:val="0"/>
              <w:spacing w:before="0" w:after="20"/>
              <w:jc w:val="center"/>
              <w:rPr/>
            </w:pPr>
            <w:r>
              <w:rPr/>
              <w:t> </w:t>
            </w:r>
          </w:p>
        </w:tc>
        <w:tc>
          <w:tcPr>
            <w:tcW w:w="498"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10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709,325</w:t>
            </w:r>
          </w:p>
        </w:tc>
        <w:tc>
          <w:tcPr>
            <w:tcW w:w="2788"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108.29%</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Ms. Palazzo</w:t>
            </w:r>
            <w:r>
              <w:rPr>
                <w:rFonts w:ascii="Outfit;sans-serif" w:hAnsi="Outfit;sans-serif"/>
                <w:color w:val="000000"/>
                <w:sz w:val="15"/>
              </w:rPr>
              <w:t>(1)</w:t>
            </w:r>
          </w:p>
        </w:tc>
        <w:tc>
          <w:tcPr>
            <w:tcW w:w="499" w:type="dxa"/>
            <w:tcBorders/>
            <w:shd w:fill="FFFFFF" w:val="clear"/>
            <w:tcMar>
              <w:top w:w="0" w:type="dxa"/>
              <w:left w:w="0" w:type="dxa"/>
              <w:bottom w:w="0" w:type="dxa"/>
              <w:right w:w="0" w:type="dxa"/>
            </w:tcMar>
            <w:vAlign w:val="center"/>
          </w:tcPr>
          <w:p>
            <w:pPr>
              <w:pStyle w:val="TableContents"/>
              <w:bidi w:val="0"/>
              <w:spacing w:before="0" w:after="20"/>
              <w:jc w:val="right"/>
              <w:rPr/>
            </w:pPr>
            <w:r>
              <w:rPr/>
              <w:t> </w:t>
            </w:r>
          </w:p>
        </w:tc>
        <w:tc>
          <w:tcPr>
            <w:tcW w:w="2110"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0"/>
              <w:jc w:val="center"/>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0"/>
              <w:jc w:val="right"/>
              <w:rPr/>
            </w:pPr>
            <w:r>
              <w:rPr/>
              <w:t> </w:t>
            </w:r>
          </w:p>
        </w:tc>
        <w:tc>
          <w:tcPr>
            <w:tcW w:w="2106"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2788"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205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Mr. Steinert</w:t>
            </w:r>
            <w:r>
              <w:rPr>
                <w:rFonts w:ascii="Outfit;sans-serif" w:hAnsi="Outfit;sans-serif"/>
                <w:color w:val="000000"/>
                <w:sz w:val="15"/>
              </w:rPr>
              <w:t>(2)</w:t>
            </w:r>
          </w:p>
        </w:tc>
        <w:tc>
          <w:tcPr>
            <w:tcW w:w="499"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110"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center"/>
              <w:rPr/>
            </w:pPr>
            <w:r>
              <w:rPr/>
              <w:t> </w:t>
            </w:r>
          </w:p>
        </w:tc>
        <w:tc>
          <w:tcPr>
            <w:tcW w:w="498"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10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2788"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Quinn</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2"/>
              </w:rPr>
            </w:pPr>
            <w:r>
              <w:rPr>
                <w:rFonts w:ascii="Outfit;sans-serif" w:hAnsi="Outfit;sans-serif"/>
                <w:color w:val="000000"/>
                <w:sz w:val="22"/>
              </w:rPr>
              <w:t>$</w:t>
            </w:r>
          </w:p>
        </w:tc>
        <w:tc>
          <w:tcPr>
            <w:tcW w:w="2110"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2"/>
              </w:rPr>
            </w:pPr>
            <w:r>
              <w:rPr>
                <w:rFonts w:ascii="Outfit;sans-serif" w:hAnsi="Outfit;sans-serif"/>
                <w:color w:val="000000"/>
                <w:sz w:val="22"/>
              </w:rPr>
              <w:t>$</w:t>
            </w:r>
          </w:p>
        </w:tc>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259,485</w:t>
            </w:r>
          </w:p>
        </w:tc>
        <w:tc>
          <w:tcPr>
            <w:tcW w:w="2788"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2"/>
              </w:rPr>
            </w:pPr>
            <w:r>
              <w:rPr>
                <w:rFonts w:ascii="Outfit;sans-serif" w:hAnsi="Outfit;sans-serif"/>
                <w:color w:val="000000"/>
                <w:sz w:val="22"/>
              </w:rPr>
              <w:t>103.79%</w:t>
            </w:r>
          </w:p>
        </w:tc>
      </w:tr>
      <w:tr>
        <w:trPr/>
        <w:tc>
          <w:tcPr>
            <w:tcW w:w="205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Zales</w:t>
            </w:r>
          </w:p>
        </w:tc>
        <w:tc>
          <w:tcPr>
            <w:tcW w:w="499"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110"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460,000</w:t>
            </w:r>
          </w:p>
        </w:tc>
        <w:tc>
          <w:tcPr>
            <w:tcW w:w="146" w:type="dxa"/>
            <w:tcBorders/>
            <w:shd w:fill="D9E1EB" w:val="clear"/>
            <w:tcMar>
              <w:top w:w="0" w:type="dxa"/>
              <w:left w:w="0" w:type="dxa"/>
              <w:bottom w:w="0" w:type="dxa"/>
              <w:right w:w="0" w:type="dxa"/>
            </w:tcMar>
            <w:vAlign w:val="center"/>
          </w:tcPr>
          <w:p>
            <w:pPr>
              <w:pStyle w:val="TableContents"/>
              <w:bidi w:val="0"/>
              <w:spacing w:before="0" w:after="20"/>
              <w:jc w:val="center"/>
              <w:rPr/>
            </w:pPr>
            <w:r>
              <w:rPr/>
              <w:t> </w:t>
            </w:r>
          </w:p>
        </w:tc>
        <w:tc>
          <w:tcPr>
            <w:tcW w:w="498"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10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477,452</w:t>
            </w:r>
          </w:p>
        </w:tc>
        <w:tc>
          <w:tcPr>
            <w:tcW w:w="2788"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103.79%</w:t>
            </w:r>
          </w:p>
        </w:tc>
      </w:tr>
    </w:tbl>
    <w:p>
      <w:pPr>
        <w:pStyle w:val="TextBody"/>
        <w:bidi w:val="0"/>
        <w:jc w:val="left"/>
        <w:rPr/>
      </w:pPr>
      <w:r>
        <w:rPr/>
        <w:t> </w:t>
      </w:r>
    </w:p>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Ms. Palazzo stepped down as our Chief Financial Officer and Treasurer on March 7, 2025, and, as a result, was ineligible to receive an annual cash incentive award under the 2025 Annual Incentive Plan.</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At Mr. Steinert’s request, to demonstrate his confidence in the Company and to continue to align his interests with those of our stockholders, the Compensation Committee continued to consider Mr. Steinert ineligible to receive an annual cash incentive award under the 2025 Annual Incentive Plan.</w:t>
      </w:r>
    </w:p>
    <w:p>
      <w:pPr>
        <w:pStyle w:val="TextBody"/>
        <w:bidi w:val="0"/>
        <w:spacing w:before="120" w:after="120"/>
        <w:jc w:val="both"/>
        <w:rPr>
          <w:rFonts w:ascii="Times New Roman" w:hAnsi="Times New Roman"/>
          <w:sz w:val="20"/>
        </w:rPr>
      </w:pPr>
      <w:r>
        <w:rPr>
          <w:rFonts w:ascii="Outfit;sans-serif" w:hAnsi="Outfit;sans-serif"/>
          <w:color w:val="000000"/>
          <w:sz w:val="22"/>
        </w:rPr>
        <w:t>The annual cash incentive award payments made to our named executive officers for 2025 are set forth in the “</w:t>
      </w:r>
      <w:r>
        <w:rPr>
          <w:rFonts w:ascii="Outfit;sans-serif" w:hAnsi="Outfit;sans-serif"/>
          <w:i/>
          <w:color w:val="000000"/>
          <w:sz w:val="22"/>
        </w:rPr>
        <w:t>Summary Compensation Table”</w:t>
      </w:r>
      <w:r>
        <w:rPr>
          <w:rFonts w:ascii="Times New Roman" w:hAnsi="Times New Roman"/>
          <w:color w:val="000000"/>
          <w:sz w:val="20"/>
        </w:rPr>
        <w:t xml:space="preserve"> </w:t>
      </w:r>
      <w:r>
        <w:rPr>
          <w:rFonts w:ascii="Outfit;sans-serif" w:hAnsi="Outfit;sans-serif"/>
          <w:color w:val="000000"/>
          <w:sz w:val="22"/>
        </w:rPr>
        <w:t>below.</w:t>
      </w:r>
      <w:r>
        <w:rPr>
          <w:rFonts w:ascii="Times New Roman" w:hAnsi="Times New Roman"/>
          <w:color w:val="000000"/>
          <w:sz w:val="20"/>
        </w:rPr>
        <w:t xml:space="preserve"> </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Long-Term Incentive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Historically and during 2025 we have used RSU awards with time-based vesting requirements to retain, motivate, and reward our named executive officers for long-term increases in the value of our Class A common stock and, thereby, to align their interests with those of our stockholders.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Typically, the size and form of the equity awards granted to our named executive officers are determined by the Compensation Committee at a level that it believes is competitive with current market practices (with reference to our compensation peer group) and after taking into consideration each individual named executive officer’s role and the scope of responsibilities, qualifications, experience, past performance and expected future contributions, current equity holdings, and the potential equity awards to be granted to our other executive officers.</w:t>
      </w:r>
    </w:p>
    <w:p>
      <w:pPr>
        <w:pStyle w:val="TextBody"/>
        <w:bidi w:val="0"/>
        <w:spacing w:before="0" w:after="120"/>
        <w:jc w:val="both"/>
        <w:rPr>
          <w:rFonts w:ascii="Times New Roman" w:hAnsi="Times New Roman"/>
          <w:sz w:val="20"/>
        </w:rPr>
      </w:pPr>
      <w:r>
        <w:rPr>
          <w:rFonts w:ascii="Outfit;sans-serif" w:hAnsi="Outfit;sans-serif"/>
          <w:color w:val="000000"/>
          <w:sz w:val="22"/>
        </w:rPr>
        <w:t>For its determination of the size and form of equity awards to be granted to our named executive officers in 2025, the Compensation Committee considered Compensia’s competitive market analysis, including a review of equity awards granted to executives holding comparable positions at the companies in our compensation peer group, as well as its own assessment of our 2024 performance and the other factors described in “</w:t>
      </w:r>
      <w:r>
        <w:rPr>
          <w:rFonts w:ascii="Outfit;sans-serif" w:hAnsi="Outfit;sans-serif"/>
          <w:i/>
          <w:color w:val="000000"/>
          <w:sz w:val="22"/>
        </w:rPr>
        <w:t>2025 Named Executive Officer Compensation – Base Salary”</w:t>
      </w:r>
      <w:r>
        <w:rPr>
          <w:rFonts w:ascii="Times New Roman" w:hAnsi="Times New Roman"/>
          <w:color w:val="000000"/>
          <w:sz w:val="20"/>
        </w:rPr>
        <w:t xml:space="preserve"> </w:t>
      </w:r>
      <w:r>
        <w:rPr>
          <w:rFonts w:ascii="Outfit;sans-serif" w:hAnsi="Outfit;sans-serif"/>
          <w:color w:val="000000"/>
          <w:sz w:val="22"/>
        </w:rPr>
        <w:t>above.</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Compensation Committee granted the following equity awards to our named executive officers in 2025:</w:t>
      </w:r>
    </w:p>
    <w:tbl>
      <w:tblPr>
        <w:tblW w:w="9062" w:type="dxa"/>
        <w:jc w:val="left"/>
        <w:tblInd w:w="0" w:type="dxa"/>
        <w:tblLayout w:type="fixed"/>
        <w:tblCellMar>
          <w:top w:w="28" w:type="dxa"/>
          <w:left w:w="28" w:type="dxa"/>
          <w:bottom w:w="28" w:type="dxa"/>
          <w:right w:w="28" w:type="dxa"/>
        </w:tblCellMar>
      </w:tblPr>
      <w:tblGrid>
        <w:gridCol w:w="3241"/>
        <w:gridCol w:w="2356"/>
        <w:gridCol w:w="480"/>
        <w:gridCol w:w="2985"/>
      </w:tblGrid>
      <w:tr>
        <w:trPr/>
        <w:tc>
          <w:tcPr>
            <w:tcW w:w="3241" w:type="dxa"/>
            <w:tcBorders/>
            <w:shd w:fill="FFFFFF" w:val="clear"/>
            <w:vAlign w:val="center"/>
          </w:tcPr>
          <w:p>
            <w:pPr>
              <w:pStyle w:val="TableContents"/>
              <w:bidi w:val="0"/>
              <w:spacing w:before="0" w:after="283"/>
              <w:jc w:val="left"/>
              <w:rPr>
                <w:sz w:val="4"/>
                <w:szCs w:val="4"/>
              </w:rPr>
            </w:pPr>
            <w:r>
              <w:rPr>
                <w:sz w:val="4"/>
                <w:szCs w:val="4"/>
              </w:rPr>
            </w:r>
          </w:p>
        </w:tc>
        <w:tc>
          <w:tcPr>
            <w:tcW w:w="2356" w:type="dxa"/>
            <w:tcBorders/>
            <w:shd w:fill="FFFFFF" w:val="clear"/>
            <w:vAlign w:val="center"/>
          </w:tcPr>
          <w:p>
            <w:pPr>
              <w:pStyle w:val="TableContents"/>
              <w:bidi w:val="0"/>
              <w:spacing w:before="0" w:after="283"/>
              <w:jc w:val="left"/>
              <w:rPr>
                <w:sz w:val="4"/>
                <w:szCs w:val="4"/>
              </w:rPr>
            </w:pPr>
            <w:r>
              <w:rPr>
                <w:sz w:val="4"/>
                <w:szCs w:val="4"/>
              </w:rPr>
            </w:r>
          </w:p>
        </w:tc>
        <w:tc>
          <w:tcPr>
            <w:tcW w:w="480" w:type="dxa"/>
            <w:tcBorders/>
            <w:shd w:fill="FFFFFF" w:val="clear"/>
            <w:vAlign w:val="center"/>
          </w:tcPr>
          <w:p>
            <w:pPr>
              <w:pStyle w:val="TableContents"/>
              <w:bidi w:val="0"/>
              <w:spacing w:before="0" w:after="283"/>
              <w:jc w:val="left"/>
              <w:rPr>
                <w:sz w:val="4"/>
                <w:szCs w:val="4"/>
              </w:rPr>
            </w:pPr>
            <w:r>
              <w:rPr>
                <w:sz w:val="4"/>
                <w:szCs w:val="4"/>
              </w:rPr>
            </w:r>
          </w:p>
        </w:tc>
        <w:tc>
          <w:tcPr>
            <w:tcW w:w="2985" w:type="dxa"/>
            <w:tcBorders/>
            <w:shd w:fill="FFFFFF" w:val="clear"/>
            <w:vAlign w:val="center"/>
          </w:tcPr>
          <w:p>
            <w:pPr>
              <w:pStyle w:val="TableContents"/>
              <w:bidi w:val="0"/>
              <w:spacing w:before="0" w:after="283"/>
              <w:jc w:val="left"/>
              <w:rPr>
                <w:sz w:val="4"/>
                <w:szCs w:val="4"/>
              </w:rPr>
            </w:pPr>
            <w:r>
              <w:rPr>
                <w:sz w:val="4"/>
                <w:szCs w:val="4"/>
              </w:rPr>
            </w:r>
          </w:p>
        </w:tc>
      </w:tr>
      <w:tr>
        <w:trPr/>
        <w:tc>
          <w:tcPr>
            <w:tcW w:w="3241"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Named Executive Officer</w:t>
            </w:r>
          </w:p>
        </w:tc>
        <w:tc>
          <w:tcPr>
            <w:tcW w:w="235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22"/>
              </w:rPr>
            </w:pPr>
            <w:r>
              <w:rPr>
                <w:rFonts w:ascii="Outfit;sans-serif" w:hAnsi="Outfit;sans-serif"/>
                <w:b/>
                <w:color w:val="3465B0"/>
                <w:sz w:val="22"/>
              </w:rPr>
              <w:t>RSU Award</w:t>
            </w:r>
          </w:p>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(number of units)</w:t>
            </w:r>
          </w:p>
        </w:tc>
        <w:tc>
          <w:tcPr>
            <w:tcW w:w="3465" w:type="dxa"/>
            <w:gridSpan w:val="2"/>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22"/>
              </w:rPr>
            </w:pPr>
            <w:r>
              <w:rPr>
                <w:rFonts w:ascii="Outfit;sans-serif" w:hAnsi="Outfit;sans-serif"/>
                <w:b/>
                <w:color w:val="3465B0"/>
                <w:sz w:val="22"/>
              </w:rPr>
              <w:t>RSU Award</w:t>
            </w:r>
          </w:p>
          <w:p>
            <w:pPr>
              <w:pStyle w:val="TableContents"/>
              <w:bidi w:val="0"/>
              <w:spacing w:before="0" w:after="283"/>
              <w:ind w:left="0" w:right="0" w:firstLine="240"/>
              <w:jc w:val="center"/>
              <w:rPr>
                <w:rFonts w:ascii="Times New Roman" w:hAnsi="Times New Roman"/>
                <w:sz w:val="22"/>
              </w:rPr>
            </w:pPr>
            <w:r>
              <w:rPr>
                <w:rFonts w:ascii="Outfit;sans-serif" w:hAnsi="Outfit;sans-serif"/>
                <w:b/>
                <w:color w:val="3465B0"/>
                <w:sz w:val="22"/>
              </w:rPr>
              <w:t>(grant date fair value)</w:t>
            </w:r>
            <w:r>
              <w:rPr>
                <w:rFonts w:ascii="Outfit;sans-serif" w:hAnsi="Outfit;sans-serif"/>
                <w:b/>
                <w:color w:val="3465B0"/>
                <w:sz w:val="15"/>
              </w:rPr>
              <w:t>(1)</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Trevisan</w:t>
            </w:r>
          </w:p>
        </w:tc>
        <w:tc>
          <w:tcPr>
            <w:tcW w:w="235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208,801</w:t>
            </w:r>
          </w:p>
        </w:tc>
        <w:tc>
          <w:tcPr>
            <w:tcW w:w="480"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985"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6,499,975</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2"/>
              </w:rPr>
            </w:pPr>
            <w:r>
              <w:rPr>
                <w:rFonts w:ascii="Outfit;sans-serif" w:hAnsi="Outfit;sans-serif"/>
                <w:color w:val="000000"/>
                <w:sz w:val="22"/>
              </w:rPr>
              <w:t>Ms. Palazzo</w:t>
            </w:r>
            <w:r>
              <w:rPr>
                <w:rFonts w:ascii="Outfit;sans-serif" w:hAnsi="Outfit;sans-serif"/>
                <w:color w:val="000000"/>
                <w:sz w:val="15"/>
              </w:rPr>
              <w:t>(2)</w:t>
            </w:r>
          </w:p>
        </w:tc>
        <w:tc>
          <w:tcPr>
            <w:tcW w:w="2356"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480"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985"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Steinert</w:t>
            </w:r>
          </w:p>
        </w:tc>
        <w:tc>
          <w:tcPr>
            <w:tcW w:w="235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80,308</w:t>
            </w:r>
          </w:p>
        </w:tc>
        <w:tc>
          <w:tcPr>
            <w:tcW w:w="480"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985"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2,499,988</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Quinn</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44,972</w:t>
            </w:r>
          </w:p>
        </w:tc>
        <w:tc>
          <w:tcPr>
            <w:tcW w:w="480"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985"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22"/>
              </w:rPr>
            </w:pPr>
            <w:r>
              <w:rPr>
                <w:rFonts w:ascii="Outfit;sans-serif" w:hAnsi="Outfit;sans-serif"/>
                <w:color w:val="000000"/>
                <w:sz w:val="22"/>
              </w:rPr>
              <w:t>1,399,978</w:t>
            </w:r>
          </w:p>
        </w:tc>
      </w:tr>
      <w:tr>
        <w:trPr/>
        <w:tc>
          <w:tcPr>
            <w:tcW w:w="3241"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Mr. Zales</w:t>
            </w:r>
          </w:p>
        </w:tc>
        <w:tc>
          <w:tcPr>
            <w:tcW w:w="235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134,918</w:t>
            </w:r>
          </w:p>
        </w:tc>
        <w:tc>
          <w:tcPr>
            <w:tcW w:w="480"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w:t>
            </w:r>
          </w:p>
        </w:tc>
        <w:tc>
          <w:tcPr>
            <w:tcW w:w="2985"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4,199,997</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 xml:space="preserve">The amounts reported represent the grant date fair value of the time-based RSU awards, as computed in accordance with FASB ASC Topic 718, which excludes the impact of estimated forfeitures related to </w:t>
      </w:r>
    </w:p>
    <w:p>
      <w:pPr>
        <w:pStyle w:val="TextBody"/>
        <w:bidi w:val="0"/>
        <w:jc w:val="center"/>
        <w:rPr>
          <w:rFonts w:ascii="Outfit;sans-serif" w:hAnsi="Outfit;sans-serif"/>
          <w:color w:val="000000"/>
          <w:sz w:val="22"/>
        </w:rPr>
      </w:pPr>
      <w:r>
        <w:rPr>
          <w:rFonts w:ascii="Outfit;sans-serif" w:hAnsi="Outfit;sans-serif"/>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service-based vesting conditions, reflects the accounting cost for the equity awards, and does not correspond to the actual economic value that may be received by our named executive officers from the equity awards. Please see Notes 2 and 11 to the consolidated financial statements in our Annual Report for the assumptions regarding the valuation of these equity awards.</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Ms. Palazzo stepped down as our Chief Financial Officer and Treasurer on March 7, 2025, prior to the grant date of the RSU award, and, as a result, was ineligible for an equity award in 2025.</w:t>
      </w:r>
    </w:p>
    <w:p>
      <w:pPr>
        <w:pStyle w:val="TextBody"/>
        <w:bidi w:val="0"/>
        <w:spacing w:before="120" w:after="120"/>
        <w:jc w:val="both"/>
        <w:rPr>
          <w:rFonts w:ascii="Outfit;sans-serif" w:hAnsi="Outfit;sans-serif"/>
          <w:color w:val="000000"/>
          <w:sz w:val="22"/>
        </w:rPr>
      </w:pPr>
      <w:r>
        <w:rPr>
          <w:rFonts w:ascii="Outfit;sans-serif" w:hAnsi="Outfit;sans-serif"/>
          <w:color w:val="000000"/>
          <w:sz w:val="22"/>
        </w:rPr>
        <w:t>Upon vesting, all of the RSU awards presented in the table above will be settled by issuing the number of shares of our Class A common stock underlying the RSUs that vested on such date. In addition, all such RSU awards provide for acceleration of vesting in the event the named executive officer’s employment is terminated by us without cause or by the named executive officer for good reason within 12 months following a Change of Control (as defined in the 2017 Plan).</w:t>
      </w:r>
    </w:p>
    <w:p>
      <w:pPr>
        <w:pStyle w:val="TextBody"/>
        <w:bidi w:val="0"/>
        <w:spacing w:before="0" w:after="120"/>
        <w:jc w:val="both"/>
        <w:rPr>
          <w:rFonts w:ascii="Times New Roman" w:hAnsi="Times New Roman"/>
          <w:sz w:val="20"/>
        </w:rPr>
      </w:pPr>
      <w:r>
        <w:rPr>
          <w:rFonts w:ascii="Outfit;sans-serif" w:hAnsi="Outfit;sans-serif"/>
          <w:color w:val="000000"/>
          <w:sz w:val="22"/>
        </w:rPr>
        <w:t>The equity awards granted to our named executive officers in 2025 are set forth in the “</w:t>
      </w:r>
      <w:r>
        <w:rPr>
          <w:rFonts w:ascii="Outfit;sans-serif" w:hAnsi="Outfit;sans-serif"/>
          <w:i/>
          <w:color w:val="000000"/>
          <w:sz w:val="22"/>
        </w:rPr>
        <w:t>Summary Compensation Table”</w:t>
      </w:r>
      <w:r>
        <w:rPr>
          <w:rFonts w:ascii="Times New Roman" w:hAnsi="Times New Roman"/>
          <w:color w:val="000000"/>
          <w:sz w:val="20"/>
        </w:rPr>
        <w:t xml:space="preserve"> </w:t>
      </w:r>
      <w:r>
        <w:rPr>
          <w:rFonts w:ascii="Outfit;sans-serif" w:hAnsi="Outfit;sans-serif"/>
          <w:color w:val="000000"/>
          <w:sz w:val="22"/>
        </w:rPr>
        <w:t>and the “</w:t>
      </w:r>
      <w:r>
        <w:rPr>
          <w:rFonts w:ascii="Outfit;sans-serif" w:hAnsi="Outfit;sans-serif"/>
          <w:i/>
          <w:color w:val="000000"/>
          <w:sz w:val="22"/>
        </w:rPr>
        <w:t>2025</w:t>
      </w:r>
      <w:r>
        <w:rPr>
          <w:rFonts w:ascii="Times New Roman" w:hAnsi="Times New Roman"/>
          <w:color w:val="000000"/>
          <w:sz w:val="20"/>
        </w:rPr>
        <w:t xml:space="preserve"> </w:t>
      </w:r>
      <w:r>
        <w:rPr>
          <w:rFonts w:ascii="Outfit;sans-serif" w:hAnsi="Outfit;sans-serif"/>
          <w:i/>
          <w:color w:val="000000"/>
          <w:sz w:val="22"/>
        </w:rPr>
        <w:t>Grants of Plan-Based Awards Table”</w:t>
      </w:r>
      <w:r>
        <w:rPr>
          <w:rFonts w:ascii="Times New Roman" w:hAnsi="Times New Roman"/>
          <w:color w:val="000000"/>
          <w:sz w:val="20"/>
        </w:rPr>
        <w:t xml:space="preserve"> </w:t>
      </w:r>
      <w:r>
        <w:rPr>
          <w:rFonts w:ascii="Outfit;sans-serif" w:hAnsi="Outfit;sans-serif"/>
          <w:color w:val="000000"/>
          <w:sz w:val="22"/>
        </w:rPr>
        <w:t>below.</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Welfare and Health Benefits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have established a broad-based tax-qualified savings plan under Section 401(k) of the Code for our eligible U.S. employees, including our named executive officers, who satisfy certain eligibility requirements, including requirements relating to age and length of service. Currently, we match contributions made to the plan by our employees as follows: 50% of an employee’s calendar-year contributions, up to a maximum of 8% of the employee’s cash compensation paid during the period. Mandatory matching contributions may be subject to vesting based on an employee’s employment start date and length of service. Employees can designate the investment of their Section 401(k) accounts into a broad range of mutual funds. We do not allow investment in our Class A common stock through the Section 401(k) plan. We intend for the plan to qualify under Section 401(a) of the Code so that contributions by employees to the plan, and income earned on plan contributions, are not taxable to employees until withdrawn from the plan.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addition, our named executive officers are eligible to receive the same employee benefits that are generally available to all of our U.S. CarGurus employees, subject to the satisfaction of certain eligibility requirements. These benefits include: medical, dental, and vision coverage; health savings and flexible spending accounts; paid time off; flexible hybrid work schedules or remote work on a case-by-case basis; employee assistance programs; short-term and long-term disability insurance; term life insurance; and fertility health and family-forming benefits, as well as paid access to certain wellness and family care resources.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structuring our employee benefit programs, we seek to provide an aggregate level of benefits that are competitive with those provided by similar companies, compliant with applicable laws and practices, and affordable to our employees. We adjust these programs as needed based upon regular monitoring of applicable laws and practices, the competitive market, and our employees’ needs.</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Perquisites and Other Personal Benefits</w:t>
      </w:r>
    </w:p>
    <w:p>
      <w:pPr>
        <w:pStyle w:val="TextBody"/>
        <w:bidi w:val="0"/>
        <w:spacing w:before="0" w:after="120"/>
        <w:jc w:val="both"/>
        <w:rPr>
          <w:rFonts w:ascii="Times New Roman" w:hAnsi="Times New Roman"/>
          <w:sz w:val="20"/>
        </w:rPr>
      </w:pPr>
      <w:r>
        <w:rPr>
          <w:rFonts w:ascii="Outfit;sans-serif" w:hAnsi="Outfit;sans-serif"/>
          <w:color w:val="000000"/>
          <w:sz w:val="22"/>
        </w:rPr>
        <w:t>We do not view perquisites or other personal benefits as a significant element of our executive compensation program. Accordingly, we do not provide significant perquisites or other personal benefits to our named executive officers except as generally made available to our employees, or in situations where we believe it is appropriate to assist a named executive officer in the performance of the individual’s duties, to make our named executive officers more efficient and effective, and for recruitment and retention purposes. During 2025 we provided our named executive officers with a supplemental commuting benefit to and from our office in Boston, Massachusetts to allow them to more efficiently use commuting hours for business purposes. The amounts associated with this benefit are reflected in the “</w:t>
      </w:r>
      <w:r>
        <w:rPr>
          <w:rFonts w:ascii="Outfit;sans-serif" w:hAnsi="Outfit;sans-serif"/>
          <w:i/>
          <w:color w:val="000000"/>
          <w:sz w:val="22"/>
        </w:rPr>
        <w:t>Summary Compensation Table”</w:t>
      </w:r>
      <w:r>
        <w:rPr>
          <w:rFonts w:ascii="Times New Roman" w:hAnsi="Times New Roman"/>
          <w:color w:val="000000"/>
          <w:sz w:val="20"/>
        </w:rPr>
        <w:t xml:space="preserve"> </w:t>
      </w:r>
      <w:r>
        <w:rPr>
          <w:rFonts w:ascii="Outfit;sans-serif" w:hAnsi="Outfit;sans-serif"/>
          <w:color w:val="000000"/>
          <w:sz w:val="22"/>
        </w:rPr>
        <w:t>below.</w:t>
      </w:r>
    </w:p>
    <w:p>
      <w:pPr>
        <w:pStyle w:val="TextBody"/>
        <w:bidi w:val="0"/>
        <w:jc w:val="center"/>
        <w:rPr>
          <w:rFonts w:ascii="Outfit;sans-serif" w:hAnsi="Outfit;sans-serif"/>
          <w:color w:val="000000"/>
          <w:sz w:val="22"/>
        </w:rPr>
      </w:pPr>
      <w:r>
        <w:rPr>
          <w:rFonts w:ascii="Outfit;sans-serif" w:hAnsi="Outfit;sans-serif"/>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the future, we may provide perquisites or other personal benefits in limited circumstances, such as those described in the preceding paragraph. All future practices with respect to perquisites or other personal benefits for our named executive officers will be approved and subject to periodic review by the Compensation Committee.</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Employment Arrangements</w:t>
      </w:r>
    </w:p>
    <w:p>
      <w:pPr>
        <w:pStyle w:val="TextBody"/>
        <w:bidi w:val="0"/>
        <w:spacing w:before="0" w:after="120"/>
        <w:jc w:val="both"/>
        <w:rPr>
          <w:rFonts w:ascii="Times New Roman" w:hAnsi="Times New Roman"/>
          <w:sz w:val="20"/>
        </w:rPr>
      </w:pPr>
      <w:r>
        <w:rPr>
          <w:rFonts w:ascii="Outfit;sans-serif" w:hAnsi="Outfit;sans-serif"/>
          <w:color w:val="000000"/>
          <w:sz w:val="22"/>
        </w:rPr>
        <w:t>We have entered into employment offer letters with each of our named executive officers. For a summary of the material terms and conditions of our employment arrangements with our named executive officers, please see “</w:t>
      </w:r>
      <w:r>
        <w:rPr>
          <w:rFonts w:ascii="Outfit;sans-serif" w:hAnsi="Outfit;sans-serif"/>
          <w:i/>
          <w:color w:val="000000"/>
          <w:sz w:val="22"/>
        </w:rPr>
        <w:t>Executive Employment Arrangements”</w:t>
      </w:r>
      <w:r>
        <w:rPr>
          <w:rFonts w:ascii="Times New Roman" w:hAnsi="Times New Roman"/>
          <w:color w:val="000000"/>
          <w:sz w:val="20"/>
        </w:rPr>
        <w:t xml:space="preserve"> </w:t>
      </w:r>
      <w:r>
        <w:rPr>
          <w:rFonts w:ascii="Outfit;sans-serif" w:hAnsi="Outfit;sans-serif"/>
          <w:color w:val="000000"/>
          <w:sz w:val="22"/>
        </w:rPr>
        <w:t>below.</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Post-Employment Compensation Arrangements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letters with our named executive officers provide for certain protections in the event of their termination of employment under specified circumstances. We believe that these protections were necessary to induce these individuals to forego other opportunities or leave their then-current employment for the uncertainty of a demanding position in a new and unfamiliar organization. We also believe that these arrangements continue to serve our executive retention objectives by helping our named executive officers maintain continued focus and dedication to their responsibility to maximize stockholder value.</w:t>
      </w:r>
    </w:p>
    <w:p>
      <w:pPr>
        <w:pStyle w:val="TextBody"/>
        <w:bidi w:val="0"/>
        <w:spacing w:before="0" w:after="120"/>
        <w:jc w:val="both"/>
        <w:rPr>
          <w:rFonts w:ascii="Times New Roman" w:hAnsi="Times New Roman"/>
          <w:sz w:val="20"/>
        </w:rPr>
      </w:pPr>
      <w:r>
        <w:rPr>
          <w:rFonts w:ascii="Outfit;sans-serif" w:hAnsi="Outfit;sans-serif"/>
          <w:color w:val="000000"/>
          <w:sz w:val="22"/>
        </w:rPr>
        <w:t>For a summary of the material terms and conditions of the post-employment compensation arrangements with our named executive officers, please see “</w:t>
      </w:r>
      <w:r>
        <w:rPr>
          <w:rFonts w:ascii="Outfit;sans-serif" w:hAnsi="Outfit;sans-serif"/>
          <w:i/>
          <w:color w:val="000000"/>
          <w:sz w:val="22"/>
        </w:rPr>
        <w:t>Executive Employment Arrangements”</w:t>
      </w:r>
      <w:r>
        <w:rPr>
          <w:rFonts w:ascii="Times New Roman" w:hAnsi="Times New Roman"/>
          <w:color w:val="000000"/>
          <w:sz w:val="20"/>
        </w:rPr>
        <w:t xml:space="preserve"> </w:t>
      </w:r>
      <w:r>
        <w:rPr>
          <w:rFonts w:ascii="Outfit;sans-serif" w:hAnsi="Outfit;sans-serif"/>
          <w:color w:val="000000"/>
          <w:sz w:val="22"/>
        </w:rPr>
        <w:t>below. For an estimate of the value of payments and benefits that our named executive officers would have been eligible to receive if a hypothetical change of control or other trigger event had occurred on December 31, 2025, please see “</w:t>
      </w:r>
      <w:r>
        <w:rPr>
          <w:rFonts w:ascii="Outfit;sans-serif" w:hAnsi="Outfit;sans-serif"/>
          <w:i/>
          <w:color w:val="000000"/>
          <w:sz w:val="22"/>
        </w:rPr>
        <w:t>Potential Payments upon Termination of Employment or Change in Control”</w:t>
      </w:r>
      <w:r>
        <w:rPr>
          <w:rFonts w:ascii="Times New Roman" w:hAnsi="Times New Roman"/>
          <w:color w:val="000000"/>
          <w:sz w:val="20"/>
        </w:rPr>
        <w:t xml:space="preserve"> </w:t>
      </w:r>
      <w:r>
        <w:rPr>
          <w:rFonts w:ascii="Outfit;sans-serif" w:hAnsi="Outfit;sans-serif"/>
          <w:color w:val="000000"/>
          <w:sz w:val="22"/>
        </w:rPr>
        <w:t>below.</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Other Compensation Policies</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Insider Trading Policy</w:t>
      </w:r>
    </w:p>
    <w:p>
      <w:pPr>
        <w:pStyle w:val="TextBody"/>
        <w:bidi w:val="0"/>
        <w:spacing w:before="0" w:after="120"/>
        <w:jc w:val="both"/>
        <w:rPr>
          <w:rFonts w:ascii="Times New Roman" w:hAnsi="Times New Roman"/>
          <w:sz w:val="20"/>
        </w:rPr>
      </w:pPr>
      <w:r>
        <w:rPr>
          <w:rFonts w:ascii="Outfit;sans-serif" w:hAnsi="Outfit;sans-serif"/>
          <w:color w:val="000000"/>
          <w:sz w:val="22"/>
        </w:rPr>
        <w:t>We have adopted</w:t>
      </w:r>
      <w:r>
        <w:rPr>
          <w:rFonts w:ascii="Times New Roman" w:hAnsi="Times New Roman"/>
          <w:color w:val="000000"/>
          <w:sz w:val="20"/>
        </w:rPr>
        <w:t xml:space="preserve"> </w:t>
      </w:r>
      <w:r>
        <w:rPr>
          <w:rFonts w:ascii="Outfit;sans-serif" w:hAnsi="Outfit;sans-serif"/>
          <w:color w:val="000000"/>
          <w:sz w:val="22"/>
        </w:rPr>
        <w:t>an Insider Trading Policy that applies to our directors, employees, and certain other persons as may be designated by the administrator of such policy. We believe that the Insider Trading Policy is reasonably designed to promote compliance with insider trading laws, rules, and regulations with respect to the purchase, sale, and/or other dispositions of our securities, as well as the applicable rules and regulations of Nasdaq. A copy of the Insider Trading Policy is filed as Exhibit 19.1 to our Annual Report.</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Hedging and Pledging Policy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Insider Trading Policy prohibits our directors, employees, and certain other persons as may be designated by the administrator of such policy from engaging in short-term trading of our securities, short sales of our securities, buying or selling puts or calls or other derivative securities on our securities, or entering into hedging or monetization transactions or similar arrangements with respect to our securities without prior approval from the policy administrator. In addition, our Insider Trading Policy prohibits our directors, employees, and certain other persons as may be designated by the administrator of such policy from holding our securities in a margin account or pledging our securities as collateral for a loan without prior approval from the policy administrator.</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Compensation Clawback Policy</w:t>
      </w:r>
    </w:p>
    <w:p>
      <w:pPr>
        <w:pStyle w:val="TextBody"/>
        <w:bidi w:val="0"/>
        <w:spacing w:before="0" w:after="120"/>
        <w:jc w:val="both"/>
        <w:rPr>
          <w:rFonts w:ascii="Times New Roman" w:hAnsi="Times New Roman"/>
          <w:sz w:val="20"/>
        </w:rPr>
      </w:pPr>
      <w:r>
        <w:rPr>
          <w:rFonts w:ascii="Outfit;sans-serif" w:hAnsi="Outfit;sans-serif"/>
          <w:color w:val="000000"/>
          <w:sz w:val="22"/>
        </w:rPr>
        <w:t>Effective October 2, 2023, the Clawback Policy was amended in order to comply with Nasdaq listing standards implementing Exchange Act Rule 10D-1. If we are required to prepare an accounting restatement due to a material noncompliance of the Company with any financial reporting requirement under the securities law (a Restatement), the Clawback Policy provides for, among other things, the mandatory recovery by the Company of erroneously awarded incentive-based compensation (i.e., incentive-based compensation that was based on the attainment of a financial reporting measure) from persons who served as an executive officer of the</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Times New Roman" w:hAnsi="Times New Roman"/>
          <w:sz w:val="20"/>
        </w:rPr>
      </w:pPr>
      <w:r>
        <w:rPr>
          <w:rFonts w:ascii="Outfit;sans-serif" w:hAnsi="Outfit;sans-serif"/>
          <w:color w:val="000000"/>
          <w:sz w:val="22"/>
        </w:rPr>
        <w:t>Company (the Executive Officers) at any time during the performance period for such incentive-based compensation and who received such compensation during the three fiscal years preceding the date on which the Company is required to prepare the Restatement (the Recovery Period). The compensation to be recovered is the amount in excess of what would have been paid based on the restated results. Recovery is required on a “no fault” basis, without regard to whether any misconduct occurred and without regard to whether an Executive Officer was responsible for the erroneous financial statements.</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Clawback Policy also provides that if we are required to prepare a Restatement, then the Board (or a committee thereof) may take, in its discretion, such actions as it deems necessary to recover from any other current or former employee that is covered by the Clawback Policy (i.e., an individual that the Board determines contributed to the Restatement through willful misconduct, fraud, or a breach of a fiduciary duty) (a Participating Employee and together with the Executive Officers, the Covered Persons) any incentive-based equity compensation received by such Participating Employee during the Recovery Period that is determined to be in excess of what would have been paid based on the restated results.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Clawback Policy further provides for the recovery of excess incentive-based cash and equity compensation from a Covered Person that the Board (or a committee thereof) determines, in its discretion, has engaged in Detrimental Conduct (i.e., willful misconduct, fraud, the violation of a law or regulation, or non-compliance with Company policies that (in the case of each of the foregoing) has resulted, or is reasonably likely to result, in a material adverse impact on the Company’s financial results, operations, or reputation), to the extent such compensation was granted during the one-year period preceding the date of the Detrimental Conduct or any time thereafter.</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Policies and Practices Related to the Grant of Certain Equity Awards Close in Time to the Release of Material Nonpublic Information</w:t>
      </w:r>
    </w:p>
    <w:p>
      <w:pPr>
        <w:pStyle w:val="TextBody"/>
        <w:bidi w:val="0"/>
        <w:spacing w:before="0" w:after="120"/>
        <w:jc w:val="both"/>
        <w:rPr>
          <w:rFonts w:ascii="Times New Roman" w:hAnsi="Times New Roman"/>
          <w:sz w:val="20"/>
        </w:rPr>
      </w:pPr>
      <w:r>
        <w:rPr>
          <w:rFonts w:ascii="Outfit;sans-serif" w:hAnsi="Outfit;sans-serif"/>
          <w:color w:val="000000"/>
          <w:sz w:val="22"/>
        </w:rPr>
        <w:t>The Compensation Committee generally will review and approve annual equity awards to our named executive officers and other eligible employees in February of each year, which is near the beginning of our fiscal year. This allows the Compensation Committee to grant equity awards at the beginning of the relevant performance cycle with the benefit of reviewing results from the immediately preceding performance cycle.</w:t>
      </w:r>
      <w:r>
        <w:rPr>
          <w:rFonts w:ascii="Times New Roman" w:hAnsi="Times New Roman"/>
          <w:color w:val="000000"/>
          <w:sz w:val="20"/>
        </w:rPr>
        <w:t xml:space="preserve"> </w:t>
      </w:r>
      <w:r>
        <w:rPr>
          <w:rFonts w:ascii="Outfit;sans-serif" w:hAnsi="Outfit;sans-serif"/>
          <w:color w:val="000000"/>
          <w:sz w:val="22"/>
        </w:rPr>
        <w:t>We also may grant equity awards at other times during the year for new hires or for other reasons, including, for example, a job promotion or for retention purposes.</w:t>
      </w:r>
    </w:p>
    <w:p>
      <w:pPr>
        <w:pStyle w:val="TextBody"/>
        <w:bidi w:val="0"/>
        <w:spacing w:before="0" w:after="120"/>
        <w:jc w:val="both"/>
        <w:rPr>
          <w:rFonts w:ascii="Times New Roman" w:hAnsi="Times New Roman"/>
          <w:sz w:val="20"/>
        </w:rPr>
      </w:pPr>
      <w:r>
        <w:rPr>
          <w:rFonts w:ascii="Outfit;sans-serif" w:hAnsi="Outfit;sans-serif"/>
          <w:color w:val="000000"/>
          <w:sz w:val="22"/>
        </w:rPr>
        <w:t>We do not</w:t>
      </w:r>
      <w:r>
        <w:rPr>
          <w:rFonts w:ascii="Times New Roman" w:hAnsi="Times New Roman"/>
          <w:color w:val="000000"/>
          <w:sz w:val="20"/>
        </w:rPr>
        <w:t xml:space="preserve"> </w:t>
      </w:r>
      <w:r>
        <w:rPr>
          <w:rFonts w:ascii="Outfit;sans-serif" w:hAnsi="Outfit;sans-serif"/>
          <w:color w:val="000000"/>
          <w:sz w:val="22"/>
        </w:rPr>
        <w:t>backdate or retroactively grant RSU awards. We generally schedule Board and Compensation Committee meetings approximately one year in advance and, as noted above, generally make annual equity awards to our name executive officers at approximately the same time each year. We do not</w:t>
      </w:r>
      <w:r>
        <w:rPr>
          <w:rFonts w:ascii="Times New Roman" w:hAnsi="Times New Roman"/>
          <w:color w:val="000000"/>
          <w:sz w:val="20"/>
        </w:rPr>
        <w:t xml:space="preserve"> </w:t>
      </w:r>
      <w:r>
        <w:rPr>
          <w:rFonts w:ascii="Outfit;sans-serif" w:hAnsi="Outfit;sans-serif"/>
          <w:color w:val="000000"/>
          <w:sz w:val="22"/>
        </w:rPr>
        <w:t>time our equity awards to take advantage of the release of earnings or other major announcements by us or market conditions.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do not currently grant new awards of stock options, stock appreciation rights, or similar option-like instruments. Accordingly, we have no specific policy or practice on the timing of awards of such options in relation to the disclosure of material nonpublic information by the Company. In the event we determine to grant new awards of such options, the Board and the Compensation Committee will evaluate the appropriate steps to take in relation to the foregoing.</w:t>
      </w:r>
    </w:p>
    <w:p>
      <w:pPr>
        <w:pStyle w:val="TextBody"/>
        <w:bidi w:val="0"/>
        <w:jc w:val="center"/>
        <w:rPr>
          <w:rFonts w:ascii="Outfit;sans-serif" w:hAnsi="Outfit;sans-serif"/>
          <w:color w:val="000000"/>
          <w:sz w:val="22"/>
        </w:rPr>
      </w:pPr>
      <w:r>
        <w:rPr>
          <w:rFonts w:ascii="Outfit;sans-serif" w:hAnsi="Outfit;sans-serif"/>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Tax and Accounting Considerations</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Deductibility of Executive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determining executive compensation, the Compensation Committee considers the possible income tax consequences to the Company and to our executive officers.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Generally, Section 162(m) of the Code disallows a federal income tax deduction for public corporations of remuneration in excess of $1 million paid for any fiscal year to certain current or former executive officers. To maintain flexibility to compensate our executive officers in a manner designed to promote our short-term and long-term corporate goals and objectives, the Compensation Committee has not adopted a policy that all compensation must be deductible. Therefore, the Compensation Committee may approve base salaries and other compensation awards for our executive officers that may not be fully deductible because of the deduction limit of Section 162(m).</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Accounting for Stock-Based Compensation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follow FASB ASC Topic 718 for our stock-based compensation awards. FASB ASC Topic 718 requires us to measure the compensation expense for all share-based payment awards made to our employees and non-employee members of the Board, including RSU awards that may be settled in shares of our Class A common stock, options to purchase shares of our Class A common stock, and other stock awards, based on the grant date “fair value” of these awards. For RSU awards that may be settled in shares of our Class A common stock, the grant date fair value is determined using the closing price of our Class A common stock. For options to purchase shares of our Class A common stock, the grant date fair value is determined utilizing the Black-Scholes option-pricing model, a generally accepted option valuation methodology. FASB ASC Topic 718 also requires us to recognize the compensation cost of our stock-based compensation awards in our income statements over the period that an employee or director is required to render service in exchange for an RSU award, stock option, or other stock award.</w:t>
      </w:r>
    </w:p>
    <w:p>
      <w:pPr>
        <w:pStyle w:val="TextBody"/>
        <w:bidi w:val="0"/>
        <w:spacing w:before="0" w:after="120"/>
        <w:jc w:val="both"/>
        <w:rPr>
          <w:rFonts w:ascii="Times New Roman" w:hAnsi="Times New Roman"/>
          <w:sz w:val="20"/>
        </w:rPr>
      </w:pPr>
      <w:r>
        <w:rPr>
          <w:rFonts w:ascii="Outfit;sans-serif" w:hAnsi="Outfit;sans-serif"/>
          <w:color w:val="000000"/>
          <w:sz w:val="22"/>
        </w:rPr>
        <w:t>This calculation is performed for accounting purposes and reported in the executive compensation tables required by the federal securities laws, even though the recipient of the awards may never realize any value from their awards.</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color w:val="00002D"/>
          <w:sz w:val="32"/>
        </w:rPr>
      </w:pPr>
      <w:bookmarkStart w:id="21" w:name="compensation_committee_report"/>
      <w:bookmarkEnd w:id="21"/>
      <w:r>
        <w:rPr>
          <w:rFonts w:ascii="Outfit;sans-serif" w:hAnsi="Outfit;sans-serif"/>
          <w:b/>
          <w:color w:val="00002D"/>
          <w:sz w:val="32"/>
        </w:rPr>
        <w:t>Compensation Committee Report</w:t>
      </w:r>
    </w:p>
    <w:p>
      <w:pPr>
        <w:pStyle w:val="TextBody"/>
        <w:bidi w:val="0"/>
        <w:spacing w:before="0" w:after="120"/>
        <w:jc w:val="both"/>
        <w:rPr>
          <w:rFonts w:ascii="Times New Roman" w:hAnsi="Times New Roman"/>
          <w:sz w:val="20"/>
        </w:rPr>
      </w:pPr>
      <w:r>
        <w:rPr>
          <w:rFonts w:ascii="Outfit;sans-serif" w:hAnsi="Outfit;sans-serif"/>
          <w:i/>
          <w:color w:val="000000"/>
          <w:sz w:val="22"/>
        </w:rPr>
        <w:t>The report of the Compensation Committee is not considered to be “soliciting material,” is not deemed “filed” with the SEC, and is not to be incorporated by reference into any filing of the Company under the Securities Act or the Exchange Act.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Outfit;sans-serif" w:hAnsi="Outfit;sans-serif"/>
          <w:color w:val="000000"/>
          <w:sz w:val="22"/>
        </w:rPr>
        <w:t>The Compensation Committee has reviewed and discussed the Compensation Discussion and Analysis with management. Based on such review and discussions, the Compensation Committee recommended to the Board of Directors that the Compensation Discussion and Analysis be included in this proxy statement and incorporated by reference into our Annual Report on Form 10-K for the fiscal year ended December 31, 2025.</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Outfit;sans-serif" w:hAnsi="Outfit;sans-serif"/>
          <w:color w:val="3465B0"/>
          <w:sz w:val="22"/>
        </w:rPr>
        <w:t>By the Compensation Committee of the Board of Directors of CarGurus, Inc.</w:t>
      </w:r>
      <w:r>
        <w:rPr>
          <w:rFonts w:ascii="Times New Roman" w:hAnsi="Times New Roman"/>
          <w:color w:val="3465B0"/>
          <w:sz w:val="20"/>
        </w:rPr>
        <w:t xml:space="preserve"> </w:t>
      </w:r>
    </w:p>
    <w:p>
      <w:pPr>
        <w:pStyle w:val="TextBody"/>
        <w:bidi w:val="0"/>
        <w:spacing w:before="120" w:after="283"/>
        <w:jc w:val="both"/>
        <w:rPr>
          <w:rFonts w:ascii="Times New Roman" w:hAnsi="Times New Roman"/>
          <w:sz w:val="20"/>
        </w:rPr>
      </w:pPr>
      <w:r>
        <w:rPr>
          <w:rFonts w:ascii="Outfit;sans-serif" w:hAnsi="Outfit;sans-serif"/>
          <w:color w:val="000000"/>
          <w:sz w:val="22"/>
        </w:rPr>
        <w:t>Stephen Kaufer (Chair)</w:t>
      </w:r>
      <w:r>
        <w:rPr>
          <w:rFonts w:ascii="Times New Roman" w:hAnsi="Times New Roman"/>
          <w:color w:val="000000"/>
          <w:sz w:val="20"/>
        </w:rPr>
        <w:t xml:space="preserve"> </w:t>
      </w:r>
    </w:p>
    <w:p>
      <w:pPr>
        <w:pStyle w:val="TextBody"/>
        <w:bidi w:val="0"/>
        <w:jc w:val="both"/>
        <w:rPr>
          <w:rFonts w:ascii="Outfit;sans-serif" w:hAnsi="Outfit;sans-serif"/>
          <w:color w:val="000000"/>
          <w:sz w:val="22"/>
        </w:rPr>
      </w:pPr>
      <w:r>
        <w:rPr>
          <w:rFonts w:ascii="Outfit;sans-serif" w:hAnsi="Outfit;sans-serif"/>
          <w:color w:val="000000"/>
          <w:sz w:val="22"/>
        </w:rPr>
        <w:t>Steven Conine</w:t>
      </w:r>
    </w:p>
    <w:p>
      <w:pPr>
        <w:pStyle w:val="TextBody"/>
        <w:bidi w:val="0"/>
        <w:jc w:val="center"/>
        <w:rPr>
          <w:rFonts w:ascii="Outfit;sans-serif" w:hAnsi="Outfit;sans-serif"/>
          <w:color w:val="000000"/>
          <w:sz w:val="22"/>
        </w:rPr>
      </w:pPr>
      <w:r>
        <w:rPr>
          <w:rFonts w:ascii="Outfit;sans-serif" w:hAnsi="Outfit;sans-serif"/>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color w:val="00002D"/>
          <w:sz w:val="32"/>
        </w:rPr>
      </w:pPr>
      <w:bookmarkStart w:id="22" w:name="executive_compensation_tables"/>
      <w:bookmarkEnd w:id="22"/>
      <w:r>
        <w:rPr>
          <w:rFonts w:ascii="Outfit;sans-serif" w:hAnsi="Outfit;sans-serif"/>
          <w:b/>
          <w:color w:val="00002D"/>
          <w:sz w:val="32"/>
        </w:rPr>
        <w:t>Executive Compensation Tables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Summary Compensation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presents for the years ended December 31, 2025, 2024, and 2023, the compensation paid or awarded to, or earned by, our named executive officers.</w:t>
      </w:r>
    </w:p>
    <w:tbl>
      <w:tblPr>
        <w:tblW w:w="10205" w:type="dxa"/>
        <w:jc w:val="left"/>
        <w:tblInd w:w="0" w:type="dxa"/>
        <w:tblLayout w:type="fixed"/>
        <w:tblCellMar>
          <w:top w:w="28" w:type="dxa"/>
          <w:left w:w="28" w:type="dxa"/>
          <w:bottom w:w="28" w:type="dxa"/>
          <w:right w:w="28" w:type="dxa"/>
        </w:tblCellMar>
      </w:tblPr>
      <w:tblGrid>
        <w:gridCol w:w="2054"/>
        <w:gridCol w:w="586"/>
        <w:gridCol w:w="889"/>
        <w:gridCol w:w="766"/>
        <w:gridCol w:w="1066"/>
        <w:gridCol w:w="1705"/>
        <w:gridCol w:w="1576"/>
        <w:gridCol w:w="1563"/>
      </w:tblGrid>
      <w:tr>
        <w:trPr/>
        <w:tc>
          <w:tcPr>
            <w:tcW w:w="205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2054"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18"/>
              </w:rPr>
            </w:pPr>
            <w:r>
              <w:rPr>
                <w:rFonts w:ascii="Outfit;sans-serif" w:hAnsi="Outfit;sans-serif"/>
                <w:b/>
                <w:color w:val="3465B0"/>
                <w:sz w:val="18"/>
              </w:rPr>
              <w:t>Name and Principal Position</w:t>
            </w:r>
          </w:p>
        </w:tc>
        <w:tc>
          <w:tcPr>
            <w:tcW w:w="58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Year</w:t>
            </w:r>
          </w:p>
        </w:tc>
        <w:tc>
          <w:tcPr>
            <w:tcW w:w="889"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Salary</w:t>
            </w:r>
          </w:p>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w:t>
            </w:r>
          </w:p>
        </w:tc>
        <w:tc>
          <w:tcPr>
            <w:tcW w:w="76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Bonus</w:t>
            </w:r>
          </w:p>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w:t>
            </w:r>
          </w:p>
        </w:tc>
        <w:tc>
          <w:tcPr>
            <w:tcW w:w="106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Stock</w:t>
              <w:br/>
              <w:t>Awards</w:t>
            </w:r>
          </w:p>
          <w:p>
            <w:pPr>
              <w:pStyle w:val="TableContents"/>
              <w:bidi w:val="0"/>
              <w:spacing w:before="0" w:after="283"/>
              <w:jc w:val="center"/>
              <w:rPr>
                <w:rFonts w:ascii="Times New Roman" w:hAnsi="Times New Roman"/>
                <w:sz w:val="18"/>
              </w:rPr>
            </w:pPr>
            <w:r>
              <w:rPr>
                <w:rFonts w:ascii="Outfit;sans-serif" w:hAnsi="Outfit;sans-serif"/>
                <w:b/>
                <w:color w:val="3465B0"/>
                <w:sz w:val="18"/>
              </w:rPr>
              <w:t>($)</w:t>
            </w:r>
            <w:r>
              <w:rPr>
                <w:rFonts w:ascii="Outfit;sans-serif" w:hAnsi="Outfit;sans-serif"/>
                <w:b/>
                <w:color w:val="3465B0"/>
                <w:sz w:val="12"/>
              </w:rPr>
              <w:t>(1)</w:t>
            </w:r>
          </w:p>
        </w:tc>
        <w:tc>
          <w:tcPr>
            <w:tcW w:w="1705"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Non-Equity</w:t>
              <w:br/>
              <w:t>Incentive Plan Compensation</w:t>
            </w:r>
          </w:p>
          <w:p>
            <w:pPr>
              <w:pStyle w:val="TableContents"/>
              <w:bidi w:val="0"/>
              <w:spacing w:before="0" w:after="283"/>
              <w:jc w:val="center"/>
              <w:rPr>
                <w:rFonts w:ascii="Times New Roman" w:hAnsi="Times New Roman"/>
                <w:sz w:val="18"/>
              </w:rPr>
            </w:pPr>
            <w:r>
              <w:rPr>
                <w:rFonts w:ascii="Outfit;sans-serif" w:hAnsi="Outfit;sans-serif"/>
                <w:b/>
                <w:color w:val="3465B0"/>
                <w:sz w:val="18"/>
              </w:rPr>
              <w:t>($)</w:t>
            </w:r>
            <w:r>
              <w:rPr>
                <w:rFonts w:ascii="Outfit;sans-serif" w:hAnsi="Outfit;sans-serif"/>
                <w:b/>
                <w:color w:val="3465B0"/>
                <w:sz w:val="12"/>
              </w:rPr>
              <w:t>(2)</w:t>
            </w:r>
          </w:p>
        </w:tc>
        <w:tc>
          <w:tcPr>
            <w:tcW w:w="157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All Other</w:t>
            </w:r>
          </w:p>
          <w:p>
            <w:pPr>
              <w:pStyle w:val="TableContents"/>
              <w:bidi w:val="0"/>
              <w:jc w:val="center"/>
              <w:rPr>
                <w:rFonts w:ascii="Outfit;sans-serif" w:hAnsi="Outfit;sans-serif"/>
                <w:b/>
                <w:color w:val="3465B0"/>
                <w:sz w:val="18"/>
              </w:rPr>
            </w:pPr>
            <w:r>
              <w:rPr>
                <w:rFonts w:ascii="Outfit;sans-serif" w:hAnsi="Outfit;sans-serif"/>
                <w:b/>
                <w:color w:val="3465B0"/>
                <w:sz w:val="18"/>
              </w:rPr>
              <w:t>Compensation</w:t>
            </w:r>
          </w:p>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w:t>
            </w:r>
          </w:p>
        </w:tc>
        <w:tc>
          <w:tcPr>
            <w:tcW w:w="1563"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Total</w:t>
            </w:r>
          </w:p>
          <w:p>
            <w:pPr>
              <w:pStyle w:val="TableContents"/>
              <w:bidi w:val="0"/>
              <w:spacing w:before="0" w:after="283"/>
              <w:ind w:left="0" w:right="0" w:firstLine="240"/>
              <w:jc w:val="center"/>
              <w:rPr>
                <w:rFonts w:ascii="Outfit;sans-serif" w:hAnsi="Outfit;sans-serif"/>
                <w:b/>
                <w:color w:val="3465B0"/>
                <w:sz w:val="18"/>
              </w:rPr>
            </w:pPr>
            <w:r>
              <w:rPr>
                <w:rFonts w:ascii="Outfit;sans-serif" w:hAnsi="Outfit;sans-serif"/>
                <w:b/>
                <w:color w:val="3465B0"/>
                <w:sz w:val="18"/>
              </w:rPr>
              <w:t>($)</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Jason Trevisan</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2025</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647,500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6,499,975</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709,325</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Outfit;sans-serif" w:hAnsi="Outfit;sans-serif"/>
                <w:color w:val="000000"/>
                <w:sz w:val="18"/>
              </w:rPr>
              <w:t>32,460</w:t>
            </w:r>
            <w:r>
              <w:rPr>
                <w:rFonts w:ascii="Outfit;sans-serif" w:hAnsi="Outfit;sans-serif"/>
                <w:color w:val="000000"/>
                <w:sz w:val="12"/>
              </w:rPr>
              <w:t>(3)</w:t>
            </w:r>
          </w:p>
        </w:tc>
        <w:tc>
          <w:tcPr>
            <w:tcW w:w="1563" w:type="dxa"/>
            <w:tcBorders/>
            <w:shd w:fill="D9E1EB" w:val="clear"/>
            <w:tcMar>
              <w:top w:w="0" w:type="dxa"/>
              <w:left w:w="0" w:type="dxa"/>
              <w:bottom w:w="0" w:type="dxa"/>
              <w:right w:w="0" w:type="dxa"/>
            </w:tcMar>
            <w:vAlign w:val="center"/>
          </w:tcPr>
          <w:p>
            <w:pPr>
              <w:pStyle w:val="TableContents"/>
              <w:bidi w:val="0"/>
              <w:spacing w:before="0" w:after="20"/>
              <w:ind w:left="0" w:right="0" w:firstLine="270"/>
              <w:jc w:val="center"/>
              <w:rPr>
                <w:rFonts w:ascii="Outfit;sans-serif" w:hAnsi="Outfit;sans-serif"/>
                <w:color w:val="000000"/>
                <w:sz w:val="18"/>
              </w:rPr>
            </w:pPr>
            <w:r>
              <w:rPr>
                <w:rFonts w:ascii="Outfit;sans-serif" w:hAnsi="Outfit;sans-serif"/>
                <w:color w:val="000000"/>
                <w:sz w:val="18"/>
              </w:rPr>
              <w:t>7,889,260</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70"/>
              <w:jc w:val="left"/>
              <w:rPr>
                <w:rFonts w:ascii="Outfit;sans-serif" w:hAnsi="Outfit;sans-serif"/>
                <w:color w:val="000000"/>
                <w:sz w:val="18"/>
              </w:rPr>
            </w:pPr>
            <w:r>
              <w:rPr>
                <w:rFonts w:ascii="Outfit;sans-serif" w:hAnsi="Outfit;sans-serif"/>
                <w:color w:val="000000"/>
                <w:sz w:val="18"/>
              </w:rPr>
              <w:t>Chief Executive Officer and interim</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2024</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610,000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6,399,989</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755,938</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33,656</w:t>
            </w:r>
          </w:p>
        </w:tc>
        <w:tc>
          <w:tcPr>
            <w:tcW w:w="1563" w:type="dxa"/>
            <w:tcBorders/>
            <w:shd w:fill="D9E1EB" w:val="clear"/>
            <w:tcMar>
              <w:top w:w="0" w:type="dxa"/>
              <w:left w:w="0" w:type="dxa"/>
              <w:bottom w:w="0" w:type="dxa"/>
              <w:right w:w="0" w:type="dxa"/>
            </w:tcMar>
            <w:vAlign w:val="center"/>
          </w:tcPr>
          <w:p>
            <w:pPr>
              <w:pStyle w:val="TableContents"/>
              <w:bidi w:val="0"/>
              <w:spacing w:before="0" w:after="20"/>
              <w:ind w:left="0" w:right="0" w:firstLine="450"/>
              <w:jc w:val="center"/>
              <w:rPr>
                <w:rFonts w:ascii="Outfit;sans-serif" w:hAnsi="Outfit;sans-serif"/>
                <w:color w:val="000000"/>
                <w:sz w:val="18"/>
              </w:rPr>
            </w:pPr>
            <w:r>
              <w:rPr>
                <w:rFonts w:ascii="Outfit;sans-serif" w:hAnsi="Outfit;sans-serif"/>
                <w:color w:val="000000"/>
                <w:sz w:val="18"/>
              </w:rPr>
              <w:t>7,799,583</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450"/>
              <w:jc w:val="left"/>
              <w:rPr>
                <w:rFonts w:ascii="Outfit;sans-serif" w:hAnsi="Outfit;sans-serif"/>
                <w:color w:val="000000"/>
                <w:sz w:val="18"/>
              </w:rPr>
            </w:pPr>
            <w:r>
              <w:rPr>
                <w:rFonts w:ascii="Outfit;sans-serif" w:hAnsi="Outfit;sans-serif"/>
                <w:color w:val="000000"/>
                <w:sz w:val="18"/>
              </w:rPr>
              <w:t>Principal Financial Officer, Principal Accounting Officer, and Treasurer</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2023</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565,000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2,564,246</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595,187</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28,780</w:t>
            </w:r>
          </w:p>
        </w:tc>
        <w:tc>
          <w:tcPr>
            <w:tcW w:w="1563"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3,753,213</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Elisa Palazzo</w:t>
            </w:r>
            <w:r>
              <w:rPr>
                <w:rFonts w:ascii="Outfit;sans-serif" w:hAnsi="Outfit;sans-serif"/>
                <w:color w:val="000000"/>
                <w:sz w:val="12"/>
              </w:rPr>
              <w:t>(4)</w:t>
            </w:r>
          </w:p>
        </w:tc>
        <w:tc>
          <w:tcPr>
            <w:tcW w:w="586"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2025</w:t>
            </w:r>
          </w:p>
        </w:tc>
        <w:tc>
          <w:tcPr>
            <w:tcW w:w="889" w:type="dxa"/>
            <w:tcBorders/>
            <w:shd w:fill="FFFFFF"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Outfit;sans-serif" w:hAnsi="Outfit;sans-serif"/>
                <w:color w:val="000000"/>
                <w:sz w:val="18"/>
              </w:rPr>
              <w:t>85,504</w:t>
            </w:r>
            <w:r>
              <w:rPr>
                <w:rFonts w:ascii="Outfit;sans-serif" w:hAnsi="Outfit;sans-serif"/>
                <w:color w:val="000000"/>
                <w:sz w:val="12"/>
              </w:rPr>
              <w:t>(5)</w:t>
            </w:r>
          </w:p>
        </w:tc>
        <w:tc>
          <w:tcPr>
            <w:tcW w:w="766"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705"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576" w:type="dxa"/>
            <w:tcBorders/>
            <w:shd w:fill="FFFFFF"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Outfit;sans-serif" w:hAnsi="Outfit;sans-serif"/>
                <w:color w:val="000000"/>
                <w:sz w:val="18"/>
              </w:rPr>
              <w:t>303,459</w:t>
            </w:r>
            <w:r>
              <w:rPr>
                <w:rFonts w:ascii="Outfit;sans-serif" w:hAnsi="Outfit;sans-serif"/>
                <w:color w:val="000000"/>
                <w:sz w:val="12"/>
              </w:rPr>
              <w:t>(6)</w:t>
            </w:r>
          </w:p>
        </w:tc>
        <w:tc>
          <w:tcPr>
            <w:tcW w:w="1563" w:type="dxa"/>
            <w:tcBorders/>
            <w:shd w:fill="FFFFFF" w:val="clear"/>
            <w:tcMar>
              <w:top w:w="0" w:type="dxa"/>
              <w:left w:w="0" w:type="dxa"/>
              <w:bottom w:w="0" w:type="dxa"/>
              <w:right w:w="0" w:type="dxa"/>
            </w:tcMar>
            <w:vAlign w:val="center"/>
          </w:tcPr>
          <w:p>
            <w:pPr>
              <w:pStyle w:val="TableContents"/>
              <w:bidi w:val="0"/>
              <w:spacing w:before="0" w:after="20"/>
              <w:ind w:left="0" w:right="0" w:firstLine="480"/>
              <w:jc w:val="center"/>
              <w:rPr>
                <w:rFonts w:ascii="Outfit;sans-serif" w:hAnsi="Outfit;sans-serif"/>
                <w:color w:val="000000"/>
                <w:sz w:val="18"/>
              </w:rPr>
            </w:pPr>
            <w:r>
              <w:rPr>
                <w:rFonts w:ascii="Outfit;sans-serif" w:hAnsi="Outfit;sans-serif"/>
                <w:color w:val="000000"/>
                <w:sz w:val="18"/>
              </w:rPr>
              <w:t>388,963</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sz w:val="18"/>
              </w:rPr>
            </w:pPr>
            <w:r>
              <w:rPr>
                <w:rFonts w:ascii="Outfit;sans-serif" w:hAnsi="Outfit;sans-serif"/>
                <w:color w:val="000000"/>
                <w:sz w:val="18"/>
              </w:rPr>
              <w:t>Former Chief Financial Officer and</w:t>
            </w:r>
            <w:r>
              <w:rPr>
                <w:rFonts w:ascii="Times New Roman" w:hAnsi="Times New Roman"/>
                <w:color w:val="000000"/>
                <w:sz w:val="18"/>
              </w:rPr>
              <w:t xml:space="preserve"> </w:t>
            </w:r>
          </w:p>
        </w:tc>
        <w:tc>
          <w:tcPr>
            <w:tcW w:w="586"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2024</w:t>
            </w:r>
          </w:p>
        </w:tc>
        <w:tc>
          <w:tcPr>
            <w:tcW w:w="889"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390,000</w:t>
            </w:r>
          </w:p>
        </w:tc>
        <w:tc>
          <w:tcPr>
            <w:tcW w:w="766"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705"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285,500</w:t>
            </w:r>
          </w:p>
        </w:tc>
        <w:tc>
          <w:tcPr>
            <w:tcW w:w="1576"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99,234</w:t>
            </w:r>
          </w:p>
        </w:tc>
        <w:tc>
          <w:tcPr>
            <w:tcW w:w="1563" w:type="dxa"/>
            <w:tcBorders/>
            <w:shd w:fill="FFFFFF" w:val="clear"/>
            <w:tcMar>
              <w:top w:w="0" w:type="dxa"/>
              <w:left w:w="0" w:type="dxa"/>
              <w:bottom w:w="0" w:type="dxa"/>
              <w:right w:w="0" w:type="dxa"/>
            </w:tcMar>
            <w:vAlign w:val="center"/>
          </w:tcPr>
          <w:p>
            <w:pPr>
              <w:pStyle w:val="TableContents"/>
              <w:bidi w:val="0"/>
              <w:spacing w:before="0" w:after="20"/>
              <w:ind w:left="0" w:right="0" w:firstLine="450"/>
              <w:jc w:val="center"/>
              <w:rPr>
                <w:rFonts w:ascii="Outfit;sans-serif" w:hAnsi="Outfit;sans-serif"/>
                <w:color w:val="000000"/>
                <w:sz w:val="18"/>
              </w:rPr>
            </w:pPr>
            <w:r>
              <w:rPr>
                <w:rFonts w:ascii="Outfit;sans-serif" w:hAnsi="Outfit;sans-serif"/>
                <w:color w:val="000000"/>
                <w:sz w:val="18"/>
              </w:rPr>
              <w:t>774,734</w:t>
            </w:r>
          </w:p>
        </w:tc>
      </w:tr>
      <w:tr>
        <w:trPr/>
        <w:tc>
          <w:tcPr>
            <w:tcW w:w="2054"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rFonts w:ascii="Outfit;sans-serif" w:hAnsi="Outfit;sans-serif"/>
                <w:color w:val="000000"/>
                <w:sz w:val="18"/>
              </w:rPr>
            </w:pPr>
            <w:r>
              <w:rPr>
                <w:rFonts w:ascii="Outfit;sans-serif" w:hAnsi="Outfit;sans-serif"/>
                <w:color w:val="000000"/>
                <w:sz w:val="18"/>
              </w:rPr>
              <w:t>Treasurer</w:t>
            </w:r>
          </w:p>
        </w:tc>
        <w:tc>
          <w:tcPr>
            <w:tcW w:w="586"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2023</w:t>
            </w:r>
          </w:p>
        </w:tc>
        <w:tc>
          <w:tcPr>
            <w:tcW w:w="889"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31,023</w:t>
            </w:r>
          </w:p>
        </w:tc>
        <w:tc>
          <w:tcPr>
            <w:tcW w:w="766"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50,000</w:t>
            </w:r>
          </w:p>
        </w:tc>
        <w:tc>
          <w:tcPr>
            <w:tcW w:w="1066"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1,999,998</w:t>
            </w:r>
          </w:p>
        </w:tc>
        <w:tc>
          <w:tcPr>
            <w:tcW w:w="1705" w:type="dxa"/>
            <w:tcBorders/>
            <w:shd w:fill="FFFFFF"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19,699</w:t>
            </w:r>
          </w:p>
        </w:tc>
        <w:tc>
          <w:tcPr>
            <w:tcW w:w="1576" w:type="dxa"/>
            <w:tcBorders/>
            <w:shd w:fill="FFFFFF"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563"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8"/>
              </w:rPr>
            </w:pPr>
            <w:r>
              <w:rPr>
                <w:rFonts w:ascii="Outfit;sans-serif" w:hAnsi="Outfit;sans-serif"/>
                <w:color w:val="000000"/>
                <w:sz w:val="18"/>
              </w:rPr>
              <w:t>2,100,720</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Langley Steinert</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2025</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10,000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2,499,988</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Outfit;sans-serif" w:hAnsi="Outfit;sans-serif"/>
                <w:color w:val="000000"/>
                <w:sz w:val="18"/>
              </w:rPr>
              <w:t>1,980</w:t>
            </w:r>
            <w:r>
              <w:rPr>
                <w:rFonts w:ascii="Outfit;sans-serif" w:hAnsi="Outfit;sans-serif"/>
                <w:color w:val="000000"/>
                <w:sz w:val="12"/>
              </w:rPr>
              <w:t>(7)</w:t>
            </w:r>
          </w:p>
        </w:tc>
        <w:tc>
          <w:tcPr>
            <w:tcW w:w="1563"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8"/>
              </w:rPr>
            </w:pPr>
            <w:r>
              <w:rPr>
                <w:rFonts w:ascii="Outfit;sans-serif" w:hAnsi="Outfit;sans-serif"/>
                <w:color w:val="000000"/>
                <w:sz w:val="18"/>
              </w:rPr>
              <w:t>2,511,968</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Executive Chair</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2024</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10,000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2,499,985</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525</w:t>
            </w:r>
          </w:p>
        </w:tc>
        <w:tc>
          <w:tcPr>
            <w:tcW w:w="1563"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8"/>
              </w:rPr>
            </w:pPr>
            <w:r>
              <w:rPr>
                <w:rFonts w:ascii="Outfit;sans-serif" w:hAnsi="Outfit;sans-serif"/>
                <w:color w:val="000000"/>
                <w:sz w:val="18"/>
              </w:rPr>
              <w:t>2,510,510</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2023</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10,000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2,499,991</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563"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8"/>
              </w:rPr>
            </w:pPr>
            <w:r>
              <w:rPr>
                <w:rFonts w:ascii="Outfit;sans-serif" w:hAnsi="Outfit;sans-serif"/>
                <w:color w:val="000000"/>
                <w:sz w:val="18"/>
              </w:rPr>
              <w:t>2,509,991</w:t>
            </w:r>
          </w:p>
        </w:tc>
      </w:tr>
      <w:tr>
        <w:trPr/>
        <w:tc>
          <w:tcPr>
            <w:tcW w:w="2054"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Matthew Quinn</w:t>
            </w:r>
          </w:p>
        </w:tc>
        <w:tc>
          <w:tcPr>
            <w:tcW w:w="58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2025</w:t>
            </w:r>
          </w:p>
        </w:tc>
        <w:tc>
          <w:tcPr>
            <w:tcW w:w="889"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417,500</w:t>
            </w:r>
          </w:p>
        </w:tc>
        <w:tc>
          <w:tcPr>
            <w:tcW w:w="766" w:type="dxa"/>
            <w:tcBorders/>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1,399,978</w:t>
            </w:r>
          </w:p>
        </w:tc>
        <w:tc>
          <w:tcPr>
            <w:tcW w:w="1705"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259,485</w:t>
            </w:r>
          </w:p>
        </w:tc>
        <w:tc>
          <w:tcPr>
            <w:tcW w:w="157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Outfit;sans-serif" w:hAnsi="Outfit;sans-serif"/>
                <w:color w:val="000000"/>
                <w:sz w:val="18"/>
              </w:rPr>
              <w:t>18,203</w:t>
            </w:r>
            <w:r>
              <w:rPr>
                <w:rFonts w:ascii="Outfit;sans-serif" w:hAnsi="Outfit;sans-serif"/>
                <w:color w:val="000000"/>
                <w:sz w:val="12"/>
              </w:rPr>
              <w:t>(8)</w:t>
            </w:r>
          </w:p>
        </w:tc>
        <w:tc>
          <w:tcPr>
            <w:tcW w:w="1563" w:type="dxa"/>
            <w:tcBorders/>
            <w:tcMar>
              <w:top w:w="0" w:type="dxa"/>
              <w:left w:w="0" w:type="dxa"/>
              <w:bottom w:w="0" w:type="dxa"/>
              <w:right w:w="0" w:type="dxa"/>
            </w:tcMar>
            <w:vAlign w:val="center"/>
          </w:tcPr>
          <w:p>
            <w:pPr>
              <w:pStyle w:val="TableContents"/>
              <w:bidi w:val="0"/>
              <w:spacing w:before="0" w:after="20"/>
              <w:ind w:left="0" w:right="0" w:firstLine="270"/>
              <w:jc w:val="center"/>
              <w:rPr>
                <w:rFonts w:ascii="Outfit;sans-serif" w:hAnsi="Outfit;sans-serif"/>
                <w:color w:val="000000"/>
                <w:sz w:val="18"/>
              </w:rPr>
            </w:pPr>
            <w:r>
              <w:rPr>
                <w:rFonts w:ascii="Outfit;sans-serif" w:hAnsi="Outfit;sans-serif"/>
                <w:color w:val="000000"/>
                <w:sz w:val="18"/>
              </w:rPr>
              <w:t>2,095,166</w:t>
            </w:r>
          </w:p>
        </w:tc>
      </w:tr>
      <w:tr>
        <w:trPr/>
        <w:tc>
          <w:tcPr>
            <w:tcW w:w="2054" w:type="dxa"/>
            <w:tcBorders/>
            <w:tcMar>
              <w:top w:w="0" w:type="dxa"/>
              <w:left w:w="0" w:type="dxa"/>
              <w:bottom w:w="0" w:type="dxa"/>
              <w:right w:w="0" w:type="dxa"/>
            </w:tcMar>
            <w:vAlign w:val="center"/>
          </w:tcPr>
          <w:p>
            <w:pPr>
              <w:pStyle w:val="TableContents"/>
              <w:bidi w:val="0"/>
              <w:spacing w:before="0" w:after="283"/>
              <w:ind w:left="0" w:right="0" w:firstLine="270"/>
              <w:jc w:val="left"/>
              <w:rPr>
                <w:rFonts w:ascii="Outfit;sans-serif" w:hAnsi="Outfit;sans-serif"/>
                <w:color w:val="000000"/>
                <w:sz w:val="18"/>
              </w:rPr>
            </w:pPr>
            <w:r>
              <w:rPr>
                <w:rFonts w:ascii="Outfit;sans-serif" w:hAnsi="Outfit;sans-serif"/>
                <w:color w:val="000000"/>
                <w:sz w:val="18"/>
              </w:rPr>
              <w:t>Chief Technology Officer</w:t>
            </w:r>
          </w:p>
        </w:tc>
        <w:tc>
          <w:tcPr>
            <w:tcW w:w="58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2024</w:t>
            </w:r>
          </w:p>
        </w:tc>
        <w:tc>
          <w:tcPr>
            <w:tcW w:w="889"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402,500</w:t>
            </w:r>
          </w:p>
        </w:tc>
        <w:tc>
          <w:tcPr>
            <w:tcW w:w="766" w:type="dxa"/>
            <w:tcBorders/>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2,099,983</w:t>
            </w:r>
          </w:p>
        </w:tc>
        <w:tc>
          <w:tcPr>
            <w:tcW w:w="1705"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298,625</w:t>
            </w:r>
          </w:p>
        </w:tc>
        <w:tc>
          <w:tcPr>
            <w:tcW w:w="157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15,704</w:t>
            </w:r>
          </w:p>
        </w:tc>
        <w:tc>
          <w:tcPr>
            <w:tcW w:w="1563"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2,816,812</w:t>
            </w:r>
          </w:p>
        </w:tc>
      </w:tr>
      <w:tr>
        <w:trPr/>
        <w:tc>
          <w:tcPr>
            <w:tcW w:w="2054"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2023</w:t>
            </w:r>
          </w:p>
        </w:tc>
        <w:tc>
          <w:tcPr>
            <w:tcW w:w="889"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369,500</w:t>
            </w:r>
          </w:p>
        </w:tc>
        <w:tc>
          <w:tcPr>
            <w:tcW w:w="76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7,500</w:t>
            </w:r>
          </w:p>
        </w:tc>
        <w:tc>
          <w:tcPr>
            <w:tcW w:w="106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1,999,980</w:t>
            </w:r>
          </w:p>
        </w:tc>
        <w:tc>
          <w:tcPr>
            <w:tcW w:w="1705"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234,627</w:t>
            </w:r>
          </w:p>
        </w:tc>
        <w:tc>
          <w:tcPr>
            <w:tcW w:w="1576" w:type="dxa"/>
            <w:tcBorders/>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12,329</w:t>
            </w:r>
          </w:p>
        </w:tc>
        <w:tc>
          <w:tcPr>
            <w:tcW w:w="1563"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8"/>
              </w:rPr>
            </w:pPr>
            <w:r>
              <w:rPr>
                <w:rFonts w:ascii="Outfit;sans-serif" w:hAnsi="Outfit;sans-serif"/>
                <w:color w:val="000000"/>
                <w:sz w:val="18"/>
              </w:rPr>
              <w:t>2,623,936</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Samuel Zales</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2025</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561,250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4,199,997</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477,452</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Outfit;sans-serif" w:hAnsi="Outfit;sans-serif"/>
                <w:color w:val="000000"/>
                <w:sz w:val="18"/>
              </w:rPr>
              <w:t>13,001</w:t>
            </w:r>
            <w:r>
              <w:rPr>
                <w:rFonts w:ascii="Outfit;sans-serif" w:hAnsi="Outfit;sans-serif"/>
                <w:color w:val="000000"/>
                <w:sz w:val="12"/>
              </w:rPr>
              <w:t>(9)</w:t>
            </w:r>
          </w:p>
        </w:tc>
        <w:tc>
          <w:tcPr>
            <w:tcW w:w="1563"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8"/>
              </w:rPr>
            </w:pPr>
            <w:r>
              <w:rPr>
                <w:rFonts w:ascii="Outfit;sans-serif" w:hAnsi="Outfit;sans-serif"/>
                <w:color w:val="000000"/>
                <w:sz w:val="18"/>
              </w:rPr>
              <w:t>5,251,700</w:t>
            </w:r>
          </w:p>
        </w:tc>
      </w:tr>
      <w:tr>
        <w:trPr/>
        <w:tc>
          <w:tcPr>
            <w:tcW w:w="20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President and Chief Operating Officer</w:t>
            </w:r>
          </w:p>
        </w:tc>
        <w:tc>
          <w:tcPr>
            <w:tcW w:w="58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2024</w:t>
            </w:r>
          </w:p>
        </w:tc>
        <w:tc>
          <w:tcPr>
            <w:tcW w:w="889"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543,750</w:t>
            </w:r>
          </w:p>
        </w:tc>
        <w:tc>
          <w:tcPr>
            <w:tcW w:w="766" w:type="dxa"/>
            <w:tcBorders/>
            <w:shd w:fill="D9E1EB" w:val="clear"/>
            <w:tcMar>
              <w:top w:w="0" w:type="dxa"/>
              <w:left w:w="0" w:type="dxa"/>
              <w:bottom w:w="0" w:type="dxa"/>
              <w:right w:w="0" w:type="dxa"/>
            </w:tcMar>
            <w:vAlign w:val="center"/>
          </w:tcPr>
          <w:p>
            <w:pPr>
              <w:pStyle w:val="TableContents"/>
              <w:bidi w:val="0"/>
              <w:spacing w:before="0" w:after="20"/>
              <w:jc w:val="center"/>
              <w:rPr>
                <w:color w:val="000000"/>
              </w:rPr>
            </w:pPr>
            <w:r>
              <w:rPr>
                <w:color w:val="000000"/>
              </w:rPr>
              <w:t>—</w:t>
            </w:r>
          </w:p>
        </w:tc>
        <w:tc>
          <w:tcPr>
            <w:tcW w:w="106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3,839,993</w:t>
            </w:r>
          </w:p>
        </w:tc>
        <w:tc>
          <w:tcPr>
            <w:tcW w:w="1705"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520,085</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15,910</w:t>
            </w:r>
          </w:p>
        </w:tc>
        <w:tc>
          <w:tcPr>
            <w:tcW w:w="1563"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18"/>
              </w:rPr>
            </w:pPr>
            <w:r>
              <w:rPr>
                <w:rFonts w:ascii="Outfit;sans-serif" w:hAnsi="Outfit;sans-serif"/>
                <w:color w:val="000000"/>
                <w:sz w:val="18"/>
              </w:rPr>
              <w:t>4,919,738</w:t>
            </w:r>
          </w:p>
        </w:tc>
      </w:tr>
    </w:tbl>
    <w:p>
      <w:pPr>
        <w:pStyle w:val="TextBody"/>
        <w:bidi w:val="0"/>
        <w:spacing w:before="120" w:after="120"/>
        <w:jc w:val="both"/>
        <w:rPr>
          <w:rFonts w:ascii="Outfit" w:hAnsi="Outfit"/>
          <w:color w:val="000000"/>
          <w:sz w:val="20"/>
        </w:rPr>
      </w:pPr>
      <w:r>
        <w:rPr>
          <w:rFonts w:ascii="Outfit" w:hAnsi="Outfit"/>
          <w:color w:val="000000"/>
          <w:sz w:val="20"/>
        </w:rPr>
        <w:t>(1)</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Represents the aggregate grant date fair value of the time-based RSU awards based on the closing market price of our Class A common stock on the date of grant computed in accordance with FASB ASC Topic 718. Please see Notes 2 and 11 to the consolidated financial statements in our Annual Report for the assumptions regarding the valuation of these equity awards.</w:t>
      </w:r>
    </w:p>
    <w:p>
      <w:pPr>
        <w:pStyle w:val="TextBody"/>
        <w:bidi w:val="0"/>
        <w:spacing w:before="0" w:after="120"/>
        <w:jc w:val="both"/>
        <w:rPr>
          <w:rFonts w:ascii="Outfit" w:hAnsi="Outfit"/>
          <w:color w:val="000000"/>
          <w:sz w:val="20"/>
        </w:rPr>
      </w:pPr>
      <w:r>
        <w:rPr>
          <w:rFonts w:ascii="Outfit" w:hAnsi="Outfit"/>
          <w:color w:val="000000"/>
          <w:sz w:val="20"/>
        </w:rPr>
        <w:t>(2)</w:t>
      </w:r>
    </w:p>
    <w:p>
      <w:pPr>
        <w:pStyle w:val="TextBody"/>
        <w:bidi w:val="0"/>
        <w:spacing w:before="0" w:after="120"/>
        <w:jc w:val="both"/>
        <w:rPr/>
      </w:pPr>
      <w:r>
        <w:rPr>
          <w:rFonts w:ascii="Outfit;sans-serif" w:hAnsi="Outfit;sans-serif"/>
          <w:color w:val="000000"/>
          <w:sz w:val="20"/>
        </w:rPr>
        <w:t>The amounts in this column reflect cash incentive awards under our Annual Incentive Plan for the applicable year determined by the Compensation Committee based on our achievement of certain strategic objectives, corporate financial performance goals, and the individual named executive officer’s performance goals, as applicable. Please see “</w:t>
      </w:r>
      <w:r>
        <w:rPr>
          <w:rFonts w:ascii="Outfit;sans-serif" w:hAnsi="Outfit;sans-serif"/>
          <w:i/>
          <w:color w:val="000000"/>
          <w:sz w:val="20"/>
        </w:rPr>
        <w:t>2025 Named Executive Officer Compensation – Cash Incentive Awards”</w:t>
      </w:r>
      <w:r>
        <w:rPr>
          <w:color w:val="000000"/>
        </w:rPr>
        <w:t xml:space="preserve"> </w:t>
      </w:r>
      <w:r>
        <w:rPr>
          <w:rFonts w:ascii="Outfit;sans-serif" w:hAnsi="Outfit;sans-serif"/>
          <w:color w:val="000000"/>
          <w:sz w:val="20"/>
        </w:rPr>
        <w:t>in the “</w:t>
      </w:r>
      <w:r>
        <w:rPr>
          <w:rFonts w:ascii="Outfit;sans-serif" w:hAnsi="Outfit;sans-serif"/>
          <w:i/>
          <w:color w:val="000000"/>
          <w:sz w:val="20"/>
        </w:rPr>
        <w:t>Compensation Discussion and Analysis”</w:t>
      </w:r>
      <w:r>
        <w:rPr>
          <w:color w:val="000000"/>
        </w:rPr>
        <w:t xml:space="preserve"> </w:t>
      </w:r>
      <w:r>
        <w:rPr>
          <w:rFonts w:ascii="Outfit;sans-serif" w:hAnsi="Outfit;sans-serif"/>
          <w:color w:val="000000"/>
          <w:sz w:val="20"/>
        </w:rPr>
        <w:t>section of this proxy statement for additional information regarding the 2025 Annual Incentive Plan.</w:t>
      </w:r>
    </w:p>
    <w:p>
      <w:pPr>
        <w:pStyle w:val="TextBody"/>
        <w:bidi w:val="0"/>
        <w:spacing w:before="0" w:after="120"/>
        <w:jc w:val="both"/>
        <w:rPr>
          <w:rFonts w:ascii="Outfit" w:hAnsi="Outfit"/>
          <w:color w:val="000000"/>
          <w:sz w:val="20"/>
        </w:rPr>
      </w:pPr>
      <w:r>
        <w:rPr>
          <w:rFonts w:ascii="Outfit" w:hAnsi="Outfit"/>
          <w:color w:val="000000"/>
          <w:sz w:val="20"/>
        </w:rPr>
        <w:t>(3)</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Consists of (i) $21,335 attributable to Mr. Trevisan for his use of a limited supplemental shared commuting benefit, (ii) $9,145 for the Company’s Section 401(k) matching contribution, and (iii) $1,980 for parking costs.</w:t>
      </w:r>
    </w:p>
    <w:p>
      <w:pPr>
        <w:pStyle w:val="TextBody"/>
        <w:bidi w:val="0"/>
        <w:spacing w:before="0" w:after="0"/>
        <w:jc w:val="both"/>
        <w:rPr>
          <w:rFonts w:ascii="Outfit" w:hAnsi="Outfit"/>
          <w:color w:val="000000"/>
          <w:sz w:val="20"/>
        </w:rPr>
      </w:pPr>
      <w:r>
        <w:rPr>
          <w:rFonts w:ascii="Outfit" w:hAnsi="Outfit"/>
          <w:color w:val="000000"/>
          <w:sz w:val="20"/>
        </w:rPr>
        <w:t>(4)</w:t>
      </w:r>
    </w:p>
    <w:p>
      <w:pPr>
        <w:pStyle w:val="TextBody"/>
        <w:bidi w:val="0"/>
        <w:spacing w:before="0" w:after="0"/>
        <w:jc w:val="both"/>
        <w:rPr>
          <w:rFonts w:ascii="Outfit;sans-serif" w:hAnsi="Outfit;sans-serif"/>
          <w:color w:val="000000"/>
          <w:sz w:val="20"/>
        </w:rPr>
      </w:pPr>
      <w:r>
        <w:rPr>
          <w:rFonts w:ascii="Outfit;sans-serif" w:hAnsi="Outfit;sans-serif"/>
          <w:color w:val="000000"/>
          <w:sz w:val="20"/>
        </w:rPr>
        <w:t>Ms. Palazzo stepped down as our Chief Financial Officer and Treasurer effective March 7, 2025. Ms. Palazzo’s base salary was prorated for the period of the year during which she was employed by the Company. Ms. Palazzo was ineligible to receive an annual cash incentive award under the 2025 Annual Incentive Plan and an equity grant under the 2017 Plan. In connection with Ms. Palazzo’s departure, all of her then unvested RSUs were forfeited.</w:t>
      </w:r>
    </w:p>
    <w:p>
      <w:pPr>
        <w:pStyle w:val="TextBody"/>
        <w:bidi w:val="0"/>
        <w:spacing w:before="120" w:after="120"/>
        <w:jc w:val="both"/>
        <w:rPr>
          <w:rFonts w:ascii="Outfit" w:hAnsi="Outfit"/>
          <w:color w:val="000000"/>
          <w:sz w:val="20"/>
        </w:rPr>
      </w:pPr>
      <w:r>
        <w:rPr>
          <w:rFonts w:ascii="Outfit" w:hAnsi="Outfit"/>
          <w:color w:val="000000"/>
          <w:sz w:val="20"/>
        </w:rPr>
        <w:t>(5)</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Consists of Ms. Palazzo’s (i) prorated base salary of $73,125 and (ii) accrued vacation pay of $12,379.</w:t>
      </w:r>
    </w:p>
    <w:p>
      <w:pPr>
        <w:pStyle w:val="TextBody"/>
        <w:bidi w:val="0"/>
        <w:spacing w:before="0" w:after="120"/>
        <w:jc w:val="both"/>
        <w:rPr>
          <w:rFonts w:ascii="Outfit" w:hAnsi="Outfit"/>
          <w:color w:val="000000"/>
          <w:sz w:val="20"/>
        </w:rPr>
      </w:pPr>
      <w:r>
        <w:rPr>
          <w:rFonts w:ascii="Outfit" w:hAnsi="Outfit"/>
          <w:color w:val="000000"/>
          <w:sz w:val="20"/>
        </w:rPr>
        <w:t>(6)</w:t>
      </w:r>
    </w:p>
    <w:p>
      <w:pPr>
        <w:pStyle w:val="TextBody"/>
        <w:bidi w:val="0"/>
        <w:spacing w:before="0" w:after="120"/>
        <w:jc w:val="both"/>
        <w:rPr/>
      </w:pPr>
      <w:r>
        <w:rPr>
          <w:rFonts w:ascii="Outfit;sans-serif" w:hAnsi="Outfit;sans-serif"/>
          <w:color w:val="000000"/>
          <w:sz w:val="20"/>
        </w:rPr>
        <w:t xml:space="preserve">Consists of (i) a severance payment of $292,500 (nine months of base salary, which was paid in a lump sum), (ii) $10,498 for the Company’s Section 401(k) matching contribution, (iii) $330 for parking costs, and (iv) $131 attributable to Ms. Palazzo for her use of a limited supplemental shared commuting benefit. See </w:t>
      </w:r>
      <w:r>
        <w:rPr>
          <w:color w:val="000000"/>
        </w:rPr>
        <w:t>“</w:t>
      </w:r>
      <w:r>
        <w:rPr>
          <w:rFonts w:ascii="Outfit;sans-serif" w:hAnsi="Outfit;sans-serif"/>
          <w:i/>
          <w:color w:val="000000"/>
          <w:sz w:val="20"/>
        </w:rPr>
        <w:t>Executive Employment Arrangements – Elisa Palazzo”</w:t>
      </w:r>
      <w:r>
        <w:rPr>
          <w:color w:val="000000"/>
        </w:rPr>
        <w:t xml:space="preserve"> </w:t>
      </w:r>
      <w:r>
        <w:rPr>
          <w:rFonts w:ascii="Outfit;sans-serif" w:hAnsi="Outfit;sans-serif"/>
          <w:color w:val="000000"/>
          <w:sz w:val="20"/>
        </w:rPr>
        <w:t>for additional information regarding Ms. Palazzo’s departure from the Company.</w:t>
      </w:r>
    </w:p>
    <w:p>
      <w:pPr>
        <w:pStyle w:val="TextBody"/>
        <w:bidi w:val="0"/>
        <w:jc w:val="center"/>
        <w:rPr>
          <w:rFonts w:ascii="Outfit;sans-serif" w:hAnsi="Outfit;sans-serif"/>
          <w:color w:val="000000"/>
          <w:sz w:val="22"/>
        </w:rPr>
      </w:pPr>
      <w:r>
        <w:rPr>
          <w:rFonts w:ascii="Outfit;sans-serif" w:hAnsi="Outfit;sans-serif"/>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 w:hAnsi="Outfit"/>
          <w:color w:val="000000"/>
          <w:sz w:val="20"/>
        </w:rPr>
      </w:pPr>
      <w:r>
        <w:rPr>
          <w:rFonts w:ascii="Outfit" w:hAnsi="Outfit"/>
          <w:color w:val="000000"/>
          <w:sz w:val="20"/>
        </w:rPr>
        <w:t>(7)</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Consists of $1,980 for parking costs.</w:t>
      </w:r>
    </w:p>
    <w:p>
      <w:pPr>
        <w:pStyle w:val="TextBody"/>
        <w:bidi w:val="0"/>
        <w:spacing w:before="0" w:after="120"/>
        <w:jc w:val="both"/>
        <w:rPr>
          <w:rFonts w:ascii="Outfit" w:hAnsi="Outfit"/>
          <w:color w:val="000000"/>
          <w:sz w:val="20"/>
        </w:rPr>
      </w:pPr>
      <w:r>
        <w:rPr>
          <w:rFonts w:ascii="Outfit" w:hAnsi="Outfit"/>
          <w:color w:val="000000"/>
          <w:sz w:val="20"/>
        </w:rPr>
        <w:t>(8)</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Consists of (i) $14,000 for the Company’s Section 401(k) matching contribution, (ii) $1,980 for parking costs, (iii) $1,821 for the purchase of a vehicle at a CarGurus dealer pursuant to the Company’s auto perk benefit, which is offered to all employees after two years of employment at CarGurus and every four years thereafter, and includes a tax “gross-up” of $571 and (iv) $402 attributable to Mr. Quinn for his use of a limited supplemental shared commuting benefit.</w:t>
      </w:r>
    </w:p>
    <w:p>
      <w:pPr>
        <w:pStyle w:val="TextBody"/>
        <w:bidi w:val="0"/>
        <w:spacing w:before="0" w:after="0"/>
        <w:jc w:val="both"/>
        <w:rPr>
          <w:rFonts w:ascii="Outfit" w:hAnsi="Outfit"/>
          <w:color w:val="000000"/>
          <w:sz w:val="20"/>
        </w:rPr>
      </w:pPr>
      <w:r>
        <w:rPr>
          <w:rFonts w:ascii="Outfit" w:hAnsi="Outfit"/>
          <w:color w:val="000000"/>
          <w:sz w:val="20"/>
        </w:rPr>
        <w:t>(9)</w:t>
      </w:r>
    </w:p>
    <w:p>
      <w:pPr>
        <w:pStyle w:val="TextBody"/>
        <w:bidi w:val="0"/>
        <w:jc w:val="both"/>
        <w:rPr>
          <w:rFonts w:ascii="Outfit;sans-serif" w:hAnsi="Outfit;sans-serif"/>
          <w:color w:val="000000"/>
          <w:sz w:val="20"/>
        </w:rPr>
      </w:pPr>
      <w:r>
        <w:rPr>
          <w:rFonts w:ascii="Outfit;sans-serif" w:hAnsi="Outfit;sans-serif"/>
          <w:color w:val="000000"/>
          <w:sz w:val="20"/>
        </w:rPr>
        <w:t>Consists of (i) $8,750 for the Company’s Section 401(k) matching contribution, (ii) $2,271 attributable to Mr. Zales for his use of a limited supplemental shared commuting benefit, and (iii) $1,980 for parking costs.</w:t>
      </w:r>
    </w:p>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2025 Grants of Plan-Based Awards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presents, for each of our named executive officers, information concerning each grant of a cash or equity award made during the year ended December 31, 2025.</w:t>
      </w:r>
    </w:p>
    <w:tbl>
      <w:tblPr>
        <w:tblW w:w="10205" w:type="dxa"/>
        <w:jc w:val="left"/>
        <w:tblInd w:w="0" w:type="dxa"/>
        <w:tblLayout w:type="fixed"/>
        <w:tblCellMar>
          <w:top w:w="28" w:type="dxa"/>
          <w:left w:w="28" w:type="dxa"/>
          <w:bottom w:w="28" w:type="dxa"/>
          <w:right w:w="28" w:type="dxa"/>
        </w:tblCellMar>
      </w:tblPr>
      <w:tblGrid>
        <w:gridCol w:w="1048"/>
        <w:gridCol w:w="753"/>
        <w:gridCol w:w="1461"/>
        <w:gridCol w:w="1117"/>
        <w:gridCol w:w="1378"/>
        <w:gridCol w:w="924"/>
        <w:gridCol w:w="1126"/>
        <w:gridCol w:w="1353"/>
        <w:gridCol w:w="1045"/>
      </w:tblGrid>
      <w:tr>
        <w:trPr/>
        <w:tc>
          <w:tcPr>
            <w:tcW w:w="10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048" w:type="dxa"/>
            <w:tcBorders/>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56" w:type="dxa"/>
            <w:gridSpan w:val="3"/>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Estimated Future Payouts Under Non-Equity Incentive Plan Awards</w:t>
            </w:r>
            <w:r>
              <w:rPr>
                <w:rFonts w:ascii="Outfit;sans-serif" w:hAnsi="Outfit;sans-serif"/>
                <w:b/>
                <w:color w:val="3465B0"/>
                <w:sz w:val="11"/>
              </w:rPr>
              <w:t>(1)</w:t>
            </w:r>
          </w:p>
        </w:tc>
        <w:tc>
          <w:tcPr>
            <w:tcW w:w="924"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8"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Outfit;sans-serif" w:hAnsi="Outfit;sans-serif"/>
                <w:b/>
                <w:color w:val="3465B0"/>
                <w:sz w:val="16"/>
              </w:rPr>
              <w:t>Name</w:t>
            </w:r>
            <w:r>
              <w:rPr>
                <w:rFonts w:ascii="Times New Roman" w:hAnsi="Times New Roman"/>
                <w:color w:val="3465B0"/>
                <w:sz w:val="16"/>
              </w:rPr>
              <w:t xml:space="preserve"> </w:t>
            </w:r>
          </w:p>
        </w:tc>
        <w:tc>
          <w:tcPr>
            <w:tcW w:w="753"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Grant</w:t>
              <w:br/>
              <w:t>Date</w:t>
            </w:r>
          </w:p>
        </w:tc>
        <w:tc>
          <w:tcPr>
            <w:tcW w:w="146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br/>
              <w:t>Threshold</w:t>
              <w:br/>
              <w:t>($)</w:t>
            </w:r>
          </w:p>
        </w:tc>
        <w:tc>
          <w:tcPr>
            <w:tcW w:w="111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br/>
              <w:t>Target</w:t>
              <w:br/>
              <w:t>($)</w:t>
            </w:r>
          </w:p>
        </w:tc>
        <w:tc>
          <w:tcPr>
            <w:tcW w:w="1378"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Maximum</w:t>
              <w:br/>
              <w:t>($)</w:t>
            </w:r>
          </w:p>
        </w:tc>
        <w:tc>
          <w:tcPr>
            <w:tcW w:w="924"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All Other</w:t>
              <w:br/>
              <w:t>Stock</w:t>
              <w:br/>
              <w:t>Awards:</w:t>
              <w:br/>
              <w:t>Number of</w:t>
              <w:br/>
              <w:t>Shares of</w:t>
              <w:br/>
              <w:t>Stock or</w:t>
              <w:br/>
              <w:t>Units (#)</w:t>
            </w:r>
          </w:p>
        </w:tc>
        <w:tc>
          <w:tcPr>
            <w:tcW w:w="112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All Other</w:t>
              <w:br/>
              <w:t>Option</w:t>
              <w:br/>
              <w:t>Awards:</w:t>
              <w:br/>
              <w:t>Number of</w:t>
              <w:br/>
              <w:t>Securities</w:t>
              <w:br/>
              <w:t>Underlying</w:t>
              <w:br/>
              <w:t>Options(#)</w:t>
            </w:r>
          </w:p>
        </w:tc>
        <w:tc>
          <w:tcPr>
            <w:tcW w:w="1353"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Exercise or Base Price of</w:t>
              <w:br/>
              <w:t>Option</w:t>
              <w:br/>
              <w:t>Awards</w:t>
              <w:br/>
              <w:t>($/sh)</w:t>
            </w:r>
          </w:p>
        </w:tc>
        <w:tc>
          <w:tcPr>
            <w:tcW w:w="1045"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Grant Date</w:t>
              <w:br/>
              <w:t>Fair Value</w:t>
              <w:br/>
              <w:t>of Stock</w:t>
              <w:br/>
              <w:t>and Option</w:t>
              <w:br/>
              <w:t>Awards</w:t>
              <w:br/>
              <w:t>($)</w:t>
            </w:r>
            <w:r>
              <w:rPr>
                <w:rFonts w:ascii="Outfit;sans-serif" w:hAnsi="Outfit;sans-serif"/>
                <w:b/>
                <w:color w:val="3465B0"/>
                <w:sz w:val="11"/>
              </w:rPr>
              <w:t>(2)</w:t>
            </w:r>
          </w:p>
        </w:tc>
      </w:tr>
      <w:tr>
        <w:trPr/>
        <w:tc>
          <w:tcPr>
            <w:tcW w:w="1048" w:type="dxa"/>
            <w:vMerge w:val="restart"/>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Jason Trevisan</w:t>
            </w:r>
          </w:p>
        </w:tc>
        <w:tc>
          <w:tcPr>
            <w:tcW w:w="753"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1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78"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924"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208,801</w:t>
            </w:r>
            <w:r>
              <w:rPr>
                <w:rFonts w:ascii="Times New Roman" w:hAnsi="Times New Roman"/>
                <w:color w:val="000000"/>
                <w:sz w:val="16"/>
              </w:rPr>
              <w:t xml:space="preserve"> </w:t>
            </w:r>
          </w:p>
        </w:tc>
        <w:tc>
          <w:tcPr>
            <w:tcW w:w="11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6,499,975</w:t>
            </w:r>
          </w:p>
        </w:tc>
      </w:tr>
      <w:tr>
        <w:trPr/>
        <w:tc>
          <w:tcPr>
            <w:tcW w:w="1048"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753" w:type="dxa"/>
            <w:tcBorders>
              <w:top w:val="single" w:sz="12" w:space="0" w:color="000000"/>
            </w:tcBorders>
            <w:shd w:fill="D9E1EB" w:val="clear"/>
            <w:tcMar>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461"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0</w:t>
            </w:r>
            <w:r>
              <w:rPr>
                <w:rFonts w:ascii="Times New Roman" w:hAnsi="Times New Roman"/>
                <w:color w:val="000000"/>
                <w:sz w:val="16"/>
              </w:rPr>
              <w:t xml:space="preserve"> </w:t>
            </w:r>
          </w:p>
        </w:tc>
        <w:tc>
          <w:tcPr>
            <w:tcW w:w="1117"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655,000</w:t>
            </w:r>
          </w:p>
        </w:tc>
        <w:tc>
          <w:tcPr>
            <w:tcW w:w="1378"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982,500</w:t>
            </w:r>
          </w:p>
        </w:tc>
        <w:tc>
          <w:tcPr>
            <w:tcW w:w="92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r>
      <w:tr>
        <w:trPr/>
        <w:tc>
          <w:tcPr>
            <w:tcW w:w="10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Outfit;sans-serif" w:hAnsi="Outfit;sans-serif"/>
                <w:color w:val="000000"/>
                <w:sz w:val="16"/>
              </w:rPr>
              <w:t>Elisa Palazzo</w:t>
            </w:r>
            <w:r>
              <w:rPr>
                <w:rFonts w:ascii="Outfit;sans-serif" w:hAnsi="Outfit;sans-serif"/>
                <w:color w:val="000000"/>
                <w:sz w:val="11"/>
              </w:rPr>
              <w:t>(3)</w:t>
            </w:r>
          </w:p>
        </w:tc>
        <w:tc>
          <w:tcPr>
            <w:tcW w:w="753"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461"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w:t>
            </w:r>
          </w:p>
        </w:tc>
        <w:tc>
          <w:tcPr>
            <w:tcW w:w="1117" w:type="dxa"/>
            <w:tcBorders/>
            <w:shd w:fill="FFFFFF"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250,000</w:t>
            </w:r>
            <w:r>
              <w:rPr>
                <w:rFonts w:ascii="Times New Roman" w:hAnsi="Times New Roman"/>
                <w:color w:val="000000"/>
                <w:sz w:val="16"/>
              </w:rPr>
              <w:t xml:space="preserve"> </w:t>
            </w:r>
          </w:p>
        </w:tc>
        <w:tc>
          <w:tcPr>
            <w:tcW w:w="1378" w:type="dxa"/>
            <w:tcBorders/>
            <w:shd w:fill="FFFFFF"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375,000</w:t>
            </w:r>
            <w:r>
              <w:rPr>
                <w:rFonts w:ascii="Times New Roman" w:hAnsi="Times New Roman"/>
                <w:color w:val="000000"/>
                <w:sz w:val="16"/>
              </w:rPr>
              <w:t xml:space="preserve"> </w:t>
            </w:r>
          </w:p>
        </w:tc>
        <w:tc>
          <w:tcPr>
            <w:tcW w:w="924"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26"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r>
      <w:tr>
        <w:trPr/>
        <w:tc>
          <w:tcPr>
            <w:tcW w:w="1048"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Langley Steinert</w:t>
            </w:r>
          </w:p>
        </w:tc>
        <w:tc>
          <w:tcPr>
            <w:tcW w:w="753"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1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78"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924"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80,308</w:t>
            </w:r>
          </w:p>
        </w:tc>
        <w:tc>
          <w:tcPr>
            <w:tcW w:w="11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35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2,499,988</w:t>
            </w:r>
          </w:p>
        </w:tc>
      </w:tr>
      <w:tr>
        <w:trPr/>
        <w:tc>
          <w:tcPr>
            <w:tcW w:w="1048" w:type="dxa"/>
            <w:vMerge w:val="restart"/>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Matthew Quinn</w:t>
            </w:r>
          </w:p>
        </w:tc>
        <w:tc>
          <w:tcPr>
            <w:tcW w:w="753"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1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78"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924"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44,972</w:t>
            </w:r>
            <w:r>
              <w:rPr>
                <w:rFonts w:ascii="Times New Roman" w:hAnsi="Times New Roman"/>
                <w:color w:val="000000"/>
                <w:sz w:val="16"/>
              </w:rPr>
              <w:t xml:space="preserve"> </w:t>
            </w:r>
          </w:p>
        </w:tc>
        <w:tc>
          <w:tcPr>
            <w:tcW w:w="112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1,399,978</w:t>
            </w:r>
          </w:p>
        </w:tc>
      </w:tr>
      <w:tr>
        <w:trPr/>
        <w:tc>
          <w:tcPr>
            <w:tcW w:w="1048" w:type="dxa"/>
            <w:vMerge w:val="continue"/>
            <w:tcBorders/>
            <w:tcMar>
              <w:top w:w="0" w:type="dxa"/>
              <w:left w:w="0" w:type="dxa"/>
              <w:bottom w:w="0" w:type="dxa"/>
              <w:right w:w="0" w:type="dxa"/>
            </w:tcMar>
            <w:vAlign w:val="center"/>
          </w:tcPr>
          <w:p>
            <w:pPr>
              <w:pStyle w:val="Normal"/>
              <w:bidi w:val="0"/>
              <w:jc w:val="left"/>
              <w:rPr/>
            </w:pPr>
            <w:r>
              <w:rPr/>
            </w:r>
          </w:p>
        </w:tc>
        <w:tc>
          <w:tcPr>
            <w:tcW w:w="753"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461"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w:t>
            </w:r>
          </w:p>
        </w:tc>
        <w:tc>
          <w:tcPr>
            <w:tcW w:w="1117"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250,000</w:t>
            </w:r>
          </w:p>
        </w:tc>
        <w:tc>
          <w:tcPr>
            <w:tcW w:w="1378"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375,000</w:t>
            </w:r>
            <w:r>
              <w:rPr>
                <w:rFonts w:ascii="Times New Roman" w:hAnsi="Times New Roman"/>
                <w:color w:val="000000"/>
                <w:sz w:val="16"/>
              </w:rPr>
              <w:t xml:space="preserve"> </w:t>
            </w:r>
          </w:p>
        </w:tc>
        <w:tc>
          <w:tcPr>
            <w:tcW w:w="92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2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r>
      <w:tr>
        <w:trPr/>
        <w:tc>
          <w:tcPr>
            <w:tcW w:w="1048" w:type="dxa"/>
            <w:vMerge w:val="restart"/>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Samuel Zales</w:t>
            </w:r>
          </w:p>
        </w:tc>
        <w:tc>
          <w:tcPr>
            <w:tcW w:w="753"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1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78"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924"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134,918</w:t>
            </w:r>
          </w:p>
        </w:tc>
        <w:tc>
          <w:tcPr>
            <w:tcW w:w="11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4,199,997</w:t>
            </w:r>
          </w:p>
        </w:tc>
      </w:tr>
      <w:tr>
        <w:trPr/>
        <w:tc>
          <w:tcPr>
            <w:tcW w:w="1048"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75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46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w:t>
            </w:r>
          </w:p>
        </w:tc>
        <w:tc>
          <w:tcPr>
            <w:tcW w:w="1117"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460,000</w:t>
            </w:r>
          </w:p>
        </w:tc>
        <w:tc>
          <w:tcPr>
            <w:tcW w:w="1378"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690,000</w:t>
            </w:r>
          </w:p>
        </w:tc>
        <w:tc>
          <w:tcPr>
            <w:tcW w:w="92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1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35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c>
          <w:tcPr>
            <w:tcW w:w="1045"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 xml:space="preserve">— </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pPr>
      <w:r>
        <w:rPr>
          <w:rFonts w:ascii="Outfit;sans-serif" w:hAnsi="Outfit;sans-serif"/>
          <w:color w:val="000000"/>
          <w:sz w:val="20"/>
        </w:rPr>
        <w:t xml:space="preserve">The amounts reported in the “Target” sub-column reflect the minimum payment level of non-equity incentive plan compensation for each of our named executive officers assuming a target level of performance under the 2025 Annual Incentive Plan. The amounts reported in the “Maximum” sub-column reflect that for 2025 the program provided each named executive officer with the potential to earn a maximum of 150% of the target annual cash incentive award opportunity. Please see </w:t>
      </w:r>
      <w:r>
        <w:rPr>
          <w:color w:val="000000"/>
        </w:rPr>
        <w:t>“</w:t>
      </w:r>
      <w:r>
        <w:rPr>
          <w:rFonts w:ascii="Outfit;sans-serif" w:hAnsi="Outfit;sans-serif"/>
          <w:i/>
          <w:color w:val="000000"/>
          <w:sz w:val="20"/>
        </w:rPr>
        <w:t>2025 Named Executive Officer Compensation – Cash Incentive Awards”</w:t>
      </w:r>
      <w:r>
        <w:rPr>
          <w:color w:val="000000"/>
        </w:rPr>
        <w:t xml:space="preserve"> </w:t>
      </w:r>
      <w:r>
        <w:rPr>
          <w:rFonts w:ascii="Outfit;sans-serif" w:hAnsi="Outfit;sans-serif"/>
          <w:color w:val="000000"/>
          <w:sz w:val="20"/>
        </w:rPr>
        <w:t xml:space="preserve">in the </w:t>
      </w:r>
      <w:r>
        <w:rPr>
          <w:color w:val="000000"/>
        </w:rPr>
        <w:t>“</w:t>
      </w:r>
      <w:r>
        <w:rPr>
          <w:rFonts w:ascii="Outfit;sans-serif" w:hAnsi="Outfit;sans-serif"/>
          <w:i/>
          <w:color w:val="000000"/>
          <w:sz w:val="20"/>
        </w:rPr>
        <w:t xml:space="preserve">Compensation Discussion and Analysis” </w:t>
      </w:r>
      <w:r>
        <w:rPr>
          <w:rFonts w:ascii="Outfit;sans-serif" w:hAnsi="Outfit;sans-serif"/>
          <w:color w:val="000000"/>
          <w:sz w:val="20"/>
        </w:rPr>
        <w:t xml:space="preserve">section of this proxy statement for additional information regarding the 2025 Annual Incentive Plan. Non-equity incentive plan awards actually paid by us for services rendered in 2025 are reported in the </w:t>
      </w:r>
      <w:r>
        <w:rPr>
          <w:color w:val="000000"/>
        </w:rPr>
        <w:t>“</w:t>
      </w:r>
      <w:r>
        <w:rPr>
          <w:rFonts w:ascii="Outfit;sans-serif" w:hAnsi="Outfit;sans-serif"/>
          <w:i/>
          <w:color w:val="000000"/>
          <w:sz w:val="20"/>
        </w:rPr>
        <w:t>Non-Equity Incentive Plan Compensation”</w:t>
      </w:r>
      <w:r>
        <w:rPr>
          <w:color w:val="000000"/>
        </w:rPr>
        <w:t xml:space="preserve"> </w:t>
      </w:r>
      <w:r>
        <w:rPr>
          <w:rFonts w:ascii="Outfit;sans-serif" w:hAnsi="Outfit;sans-serif"/>
          <w:color w:val="000000"/>
          <w:sz w:val="20"/>
        </w:rPr>
        <w:t xml:space="preserve">column of the </w:t>
      </w:r>
      <w:r>
        <w:rPr>
          <w:color w:val="000000"/>
        </w:rPr>
        <w:t>“</w:t>
      </w:r>
      <w:r>
        <w:rPr>
          <w:rFonts w:ascii="Outfit;sans-serif" w:hAnsi="Outfit;sans-serif"/>
          <w:i/>
          <w:color w:val="000000"/>
          <w:sz w:val="20"/>
        </w:rPr>
        <w:t xml:space="preserve">Summary Compensation Table” </w:t>
      </w:r>
      <w:r>
        <w:rPr>
          <w:rFonts w:ascii="Outfit;sans-serif" w:hAnsi="Outfit;sans-serif"/>
          <w:color w:val="000000"/>
          <w:sz w:val="20"/>
        </w:rPr>
        <w:t>above.</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Represents the aggregate grant date fair value of the time-based RSU awards under the 2017 Plan based on the closing market price of our Class A common stock on the date of grant computed in accordance with FASB ASC Topic 718. Please see Notes 2 and 11 to the consolidated financial statements in our Annual Report for the assumptions regarding the valuation of these equity awards.</w:t>
      </w:r>
    </w:p>
    <w:p>
      <w:pPr>
        <w:pStyle w:val="TextBody"/>
        <w:bidi w:val="0"/>
        <w:spacing w:before="120" w:after="283"/>
        <w:jc w:val="both"/>
        <w:rPr>
          <w:rFonts w:ascii="Outfit" w:hAnsi="Outfit"/>
          <w:color w:val="000000"/>
          <w:sz w:val="20"/>
        </w:rPr>
      </w:pPr>
      <w:r>
        <w:rPr>
          <w:rFonts w:ascii="Outfit" w:hAnsi="Outfit"/>
          <w:color w:val="000000"/>
          <w:sz w:val="20"/>
        </w:rPr>
        <w:t>(3)</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Ms. Palazzo stepped down as our Chief Financial Officer and Treasurer effective March 7, 2025, and, as a result, was ineligible to receive an annual cash incentive award under the 2025 Annual Incentive Plan.</w:t>
      </w:r>
    </w:p>
    <w:p>
      <w:pPr>
        <w:pStyle w:val="TextBody"/>
        <w:bidi w:val="0"/>
        <w:jc w:val="center"/>
        <w:rPr>
          <w:rFonts w:ascii="Outfit;sans-serif" w:hAnsi="Outfit;sans-serif"/>
          <w:color w:val="000000"/>
          <w:sz w:val="22"/>
        </w:rPr>
      </w:pPr>
      <w:r>
        <w:rPr>
          <w:rFonts w:ascii="Outfit;sans-serif" w:hAnsi="Outfit;sans-serif"/>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2025 Outstanding Equity Awards at Fiscal Year-End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presents, for each of our named executive officers, information regarding outstanding equity awards held as of December 31, 2025.</w:t>
      </w:r>
    </w:p>
    <w:tbl>
      <w:tblPr>
        <w:tblW w:w="10567" w:type="dxa"/>
        <w:jc w:val="left"/>
        <w:tblInd w:w="0" w:type="dxa"/>
        <w:tblLayout w:type="fixed"/>
        <w:tblCellMar>
          <w:top w:w="28" w:type="dxa"/>
          <w:left w:w="28" w:type="dxa"/>
          <w:bottom w:w="28" w:type="dxa"/>
          <w:right w:w="28" w:type="dxa"/>
        </w:tblCellMar>
      </w:tblPr>
      <w:tblGrid>
        <w:gridCol w:w="856"/>
        <w:gridCol w:w="146"/>
        <w:gridCol w:w="616"/>
        <w:gridCol w:w="146"/>
        <w:gridCol w:w="1576"/>
        <w:gridCol w:w="146"/>
        <w:gridCol w:w="1231"/>
        <w:gridCol w:w="146"/>
        <w:gridCol w:w="1396"/>
        <w:gridCol w:w="146"/>
        <w:gridCol w:w="871"/>
        <w:gridCol w:w="146"/>
        <w:gridCol w:w="1051"/>
        <w:gridCol w:w="146"/>
        <w:gridCol w:w="826"/>
        <w:gridCol w:w="146"/>
        <w:gridCol w:w="97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87" w:type="dxa"/>
            <w:gridSpan w:val="7"/>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Option Awards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948" w:type="dxa"/>
            <w:gridSpan w:val="3"/>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Stock Awards</w:t>
            </w:r>
          </w:p>
        </w:tc>
      </w:tr>
      <w:tr>
        <w:trPr/>
        <w:tc>
          <w:tcPr>
            <w:tcW w:w="856"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16"/>
              </w:rPr>
            </w:pPr>
            <w:r>
              <w:rPr>
                <w:rFonts w:ascii="Outfit;sans-serif" w:hAnsi="Outfit;sans-serif"/>
                <w:b/>
                <w:color w:val="3465B0"/>
                <w:sz w:val="16"/>
              </w:rPr>
              <w:t>Name</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Grant Date</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15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Vesting Commencement Date</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6"/>
              </w:rPr>
            </w:pPr>
            <w:r>
              <w:rPr>
                <w:rFonts w:ascii="Outfit;sans-serif" w:hAnsi="Outfit;sans-serif"/>
                <w:b/>
                <w:color w:val="3465B0"/>
                <w:sz w:val="16"/>
              </w:rPr>
              <w:t>Number of</w:t>
            </w:r>
          </w:p>
          <w:p>
            <w:pPr>
              <w:pStyle w:val="TableContents"/>
              <w:bidi w:val="0"/>
              <w:jc w:val="center"/>
              <w:rPr>
                <w:rFonts w:ascii="Outfit;sans-serif" w:hAnsi="Outfit;sans-serif"/>
                <w:b/>
                <w:color w:val="3465B0"/>
                <w:sz w:val="16"/>
              </w:rPr>
            </w:pPr>
            <w:r>
              <w:rPr>
                <w:rFonts w:ascii="Outfit;sans-serif" w:hAnsi="Outfit;sans-serif"/>
                <w:b/>
                <w:color w:val="3465B0"/>
                <w:sz w:val="16"/>
              </w:rPr>
              <w:t>securities</w:t>
            </w:r>
          </w:p>
          <w:p>
            <w:pPr>
              <w:pStyle w:val="TableContents"/>
              <w:bidi w:val="0"/>
              <w:jc w:val="center"/>
              <w:rPr>
                <w:rFonts w:ascii="Outfit;sans-serif" w:hAnsi="Outfit;sans-serif"/>
                <w:b/>
                <w:color w:val="3465B0"/>
                <w:sz w:val="16"/>
              </w:rPr>
            </w:pPr>
            <w:r>
              <w:rPr>
                <w:rFonts w:ascii="Outfit;sans-serif" w:hAnsi="Outfit;sans-serif"/>
                <w:b/>
                <w:color w:val="3465B0"/>
                <w:sz w:val="16"/>
              </w:rPr>
              <w:t>underlying</w:t>
            </w:r>
          </w:p>
          <w:p>
            <w:pPr>
              <w:pStyle w:val="TableContents"/>
              <w:bidi w:val="0"/>
              <w:jc w:val="center"/>
              <w:rPr>
                <w:rFonts w:ascii="Outfit;sans-serif" w:hAnsi="Outfit;sans-serif"/>
                <w:b/>
                <w:color w:val="3465B0"/>
                <w:sz w:val="16"/>
              </w:rPr>
            </w:pPr>
            <w:r>
              <w:rPr>
                <w:rFonts w:ascii="Outfit;sans-serif" w:hAnsi="Outfit;sans-serif"/>
                <w:b/>
                <w:color w:val="3465B0"/>
                <w:sz w:val="16"/>
              </w:rPr>
              <w:t>unexercised</w:t>
            </w:r>
          </w:p>
          <w:p>
            <w:pPr>
              <w:pStyle w:val="TableContents"/>
              <w:bidi w:val="0"/>
              <w:jc w:val="center"/>
              <w:rPr>
                <w:rFonts w:ascii="Outfit;sans-serif" w:hAnsi="Outfit;sans-serif"/>
                <w:b/>
                <w:color w:val="3465B0"/>
                <w:sz w:val="16"/>
              </w:rPr>
            </w:pPr>
            <w:r>
              <w:rPr>
                <w:rFonts w:ascii="Outfit;sans-serif" w:hAnsi="Outfit;sans-serif"/>
                <w:b/>
                <w:color w:val="3465B0"/>
                <w:sz w:val="16"/>
              </w:rPr>
              <w:t>options</w:t>
            </w:r>
          </w:p>
          <w:p>
            <w:pPr>
              <w:pStyle w:val="TableContents"/>
              <w:bidi w:val="0"/>
              <w:jc w:val="center"/>
              <w:rPr>
                <w:rFonts w:ascii="Outfit;sans-serif" w:hAnsi="Outfit;sans-serif"/>
                <w:b/>
                <w:color w:val="3465B0"/>
                <w:sz w:val="16"/>
              </w:rPr>
            </w:pPr>
            <w:r>
              <w:rPr>
                <w:rFonts w:ascii="Outfit;sans-serif" w:hAnsi="Outfit;sans-serif"/>
                <w:b/>
                <w:color w:val="3465B0"/>
                <w:sz w:val="16"/>
              </w:rPr>
              <w:t>(#)</w:t>
            </w:r>
          </w:p>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exercisable</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6"/>
              </w:rPr>
            </w:pPr>
            <w:r>
              <w:rPr>
                <w:rFonts w:ascii="Outfit;sans-serif" w:hAnsi="Outfit;sans-serif"/>
                <w:b/>
                <w:color w:val="3465B0"/>
                <w:sz w:val="16"/>
              </w:rPr>
              <w:t>Number of</w:t>
            </w:r>
          </w:p>
          <w:p>
            <w:pPr>
              <w:pStyle w:val="TableContents"/>
              <w:bidi w:val="0"/>
              <w:jc w:val="center"/>
              <w:rPr>
                <w:rFonts w:ascii="Outfit;sans-serif" w:hAnsi="Outfit;sans-serif"/>
                <w:b/>
                <w:color w:val="3465B0"/>
                <w:sz w:val="16"/>
              </w:rPr>
            </w:pPr>
            <w:r>
              <w:rPr>
                <w:rFonts w:ascii="Outfit;sans-serif" w:hAnsi="Outfit;sans-serif"/>
                <w:b/>
                <w:color w:val="3465B0"/>
                <w:sz w:val="16"/>
              </w:rPr>
              <w:t>securities</w:t>
            </w:r>
          </w:p>
          <w:p>
            <w:pPr>
              <w:pStyle w:val="TableContents"/>
              <w:bidi w:val="0"/>
              <w:jc w:val="center"/>
              <w:rPr>
                <w:rFonts w:ascii="Outfit;sans-serif" w:hAnsi="Outfit;sans-serif"/>
                <w:b/>
                <w:color w:val="3465B0"/>
                <w:sz w:val="16"/>
              </w:rPr>
            </w:pPr>
            <w:r>
              <w:rPr>
                <w:rFonts w:ascii="Outfit;sans-serif" w:hAnsi="Outfit;sans-serif"/>
                <w:b/>
                <w:color w:val="3465B0"/>
                <w:sz w:val="16"/>
              </w:rPr>
              <w:t>underlying</w:t>
            </w:r>
          </w:p>
          <w:p>
            <w:pPr>
              <w:pStyle w:val="TableContents"/>
              <w:bidi w:val="0"/>
              <w:jc w:val="center"/>
              <w:rPr>
                <w:rFonts w:ascii="Outfit;sans-serif" w:hAnsi="Outfit;sans-serif"/>
                <w:b/>
                <w:color w:val="3465B0"/>
                <w:sz w:val="16"/>
              </w:rPr>
            </w:pPr>
            <w:r>
              <w:rPr>
                <w:rFonts w:ascii="Outfit;sans-serif" w:hAnsi="Outfit;sans-serif"/>
                <w:b/>
                <w:color w:val="3465B0"/>
                <w:sz w:val="16"/>
              </w:rPr>
              <w:t>unexercised</w:t>
            </w:r>
          </w:p>
          <w:p>
            <w:pPr>
              <w:pStyle w:val="TableContents"/>
              <w:bidi w:val="0"/>
              <w:jc w:val="center"/>
              <w:rPr>
                <w:rFonts w:ascii="Outfit;sans-serif" w:hAnsi="Outfit;sans-serif"/>
                <w:b/>
                <w:color w:val="3465B0"/>
                <w:sz w:val="16"/>
              </w:rPr>
            </w:pPr>
            <w:r>
              <w:rPr>
                <w:rFonts w:ascii="Outfit;sans-serif" w:hAnsi="Outfit;sans-serif"/>
                <w:b/>
                <w:color w:val="3465B0"/>
                <w:sz w:val="16"/>
              </w:rPr>
              <w:t>options</w:t>
            </w:r>
          </w:p>
          <w:p>
            <w:pPr>
              <w:pStyle w:val="TableContents"/>
              <w:bidi w:val="0"/>
              <w:jc w:val="center"/>
              <w:rPr>
                <w:rFonts w:ascii="Outfit;sans-serif" w:hAnsi="Outfit;sans-serif"/>
                <w:b/>
                <w:color w:val="3465B0"/>
                <w:sz w:val="16"/>
              </w:rPr>
            </w:pPr>
            <w:r>
              <w:rPr>
                <w:rFonts w:ascii="Outfit;sans-serif" w:hAnsi="Outfit;sans-serif"/>
                <w:b/>
                <w:color w:val="3465B0"/>
                <w:sz w:val="16"/>
              </w:rPr>
              <w:t>(#)</w:t>
            </w:r>
          </w:p>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unexercisable</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6"/>
              </w:rPr>
            </w:pPr>
            <w:r>
              <w:rPr>
                <w:rFonts w:ascii="Outfit;sans-serif" w:hAnsi="Outfit;sans-serif"/>
                <w:b/>
                <w:color w:val="3465B0"/>
                <w:sz w:val="16"/>
              </w:rPr>
              <w:t>Option</w:t>
            </w:r>
          </w:p>
          <w:p>
            <w:pPr>
              <w:pStyle w:val="TableContents"/>
              <w:bidi w:val="0"/>
              <w:jc w:val="center"/>
              <w:rPr>
                <w:rFonts w:ascii="Outfit;sans-serif" w:hAnsi="Outfit;sans-serif"/>
                <w:b/>
                <w:color w:val="3465B0"/>
                <w:sz w:val="16"/>
              </w:rPr>
            </w:pPr>
            <w:r>
              <w:rPr>
                <w:rFonts w:ascii="Outfit;sans-serif" w:hAnsi="Outfit;sans-serif"/>
                <w:b/>
                <w:color w:val="3465B0"/>
                <w:sz w:val="16"/>
              </w:rPr>
              <w:t>exercise</w:t>
            </w:r>
          </w:p>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price</w:t>
              <w:br/>
              <w:t>($)</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6"/>
              </w:rPr>
            </w:pPr>
            <w:r>
              <w:rPr>
                <w:rFonts w:ascii="Outfit;sans-serif" w:hAnsi="Outfit;sans-serif"/>
                <w:b/>
                <w:color w:val="3465B0"/>
                <w:sz w:val="16"/>
              </w:rPr>
              <w:t>Option</w:t>
            </w:r>
          </w:p>
          <w:p>
            <w:pPr>
              <w:pStyle w:val="TableContents"/>
              <w:bidi w:val="0"/>
              <w:jc w:val="center"/>
              <w:rPr>
                <w:rFonts w:ascii="Outfit;sans-serif" w:hAnsi="Outfit;sans-serif"/>
                <w:b/>
                <w:color w:val="3465B0"/>
                <w:sz w:val="16"/>
              </w:rPr>
            </w:pPr>
            <w:r>
              <w:rPr>
                <w:rFonts w:ascii="Outfit;sans-serif" w:hAnsi="Outfit;sans-serif"/>
                <w:b/>
                <w:color w:val="3465B0"/>
                <w:sz w:val="16"/>
              </w:rPr>
              <w:t>expiration</w:t>
            </w:r>
          </w:p>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date</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6"/>
              </w:rPr>
            </w:pPr>
            <w:r>
              <w:rPr>
                <w:rFonts w:ascii="Outfit;sans-serif" w:hAnsi="Outfit;sans-serif"/>
                <w:b/>
                <w:color w:val="3465B0"/>
                <w:sz w:val="16"/>
              </w:rPr>
              <w:t>Number</w:t>
            </w:r>
          </w:p>
          <w:p>
            <w:pPr>
              <w:pStyle w:val="TableContents"/>
              <w:bidi w:val="0"/>
              <w:jc w:val="center"/>
              <w:rPr>
                <w:rFonts w:ascii="Outfit;sans-serif" w:hAnsi="Outfit;sans-serif"/>
                <w:b/>
                <w:color w:val="3465B0"/>
                <w:sz w:val="16"/>
              </w:rPr>
            </w:pPr>
            <w:r>
              <w:rPr>
                <w:rFonts w:ascii="Outfit;sans-serif" w:hAnsi="Outfit;sans-serif"/>
                <w:b/>
                <w:color w:val="3465B0"/>
                <w:sz w:val="16"/>
              </w:rPr>
              <w:t>of shares</w:t>
            </w:r>
          </w:p>
          <w:p>
            <w:pPr>
              <w:pStyle w:val="TableContents"/>
              <w:bidi w:val="0"/>
              <w:jc w:val="center"/>
              <w:rPr>
                <w:rFonts w:ascii="Outfit;sans-serif" w:hAnsi="Outfit;sans-serif"/>
                <w:b/>
                <w:color w:val="3465B0"/>
                <w:sz w:val="16"/>
              </w:rPr>
            </w:pPr>
            <w:r>
              <w:rPr>
                <w:rFonts w:ascii="Outfit;sans-serif" w:hAnsi="Outfit;sans-serif"/>
                <w:b/>
                <w:color w:val="3465B0"/>
                <w:sz w:val="16"/>
              </w:rPr>
              <w:t>or units</w:t>
            </w:r>
          </w:p>
          <w:p>
            <w:pPr>
              <w:pStyle w:val="TableContents"/>
              <w:bidi w:val="0"/>
              <w:jc w:val="center"/>
              <w:rPr>
                <w:rFonts w:ascii="Outfit;sans-serif" w:hAnsi="Outfit;sans-serif"/>
                <w:b/>
                <w:color w:val="3465B0"/>
                <w:sz w:val="16"/>
              </w:rPr>
            </w:pPr>
            <w:r>
              <w:rPr>
                <w:rFonts w:ascii="Outfit;sans-serif" w:hAnsi="Outfit;sans-serif"/>
                <w:b/>
                <w:color w:val="3465B0"/>
                <w:sz w:val="16"/>
              </w:rPr>
              <w:t>of stock</w:t>
            </w:r>
          </w:p>
          <w:p>
            <w:pPr>
              <w:pStyle w:val="TableContents"/>
              <w:bidi w:val="0"/>
              <w:jc w:val="center"/>
              <w:rPr>
                <w:rFonts w:ascii="Outfit;sans-serif" w:hAnsi="Outfit;sans-serif"/>
                <w:b/>
                <w:color w:val="3465B0"/>
                <w:sz w:val="16"/>
              </w:rPr>
            </w:pPr>
            <w:r>
              <w:rPr>
                <w:rFonts w:ascii="Outfit;sans-serif" w:hAnsi="Outfit;sans-serif"/>
                <w:b/>
                <w:color w:val="3465B0"/>
                <w:sz w:val="16"/>
              </w:rPr>
              <w:t>that have</w:t>
            </w:r>
          </w:p>
          <w:p>
            <w:pPr>
              <w:pStyle w:val="TableContents"/>
              <w:bidi w:val="0"/>
              <w:jc w:val="center"/>
              <w:rPr>
                <w:rFonts w:ascii="Outfit;sans-serif" w:hAnsi="Outfit;sans-serif"/>
                <w:b/>
                <w:color w:val="3465B0"/>
                <w:sz w:val="16"/>
              </w:rPr>
            </w:pPr>
            <w:r>
              <w:rPr>
                <w:rFonts w:ascii="Outfit;sans-serif" w:hAnsi="Outfit;sans-serif"/>
                <w:b/>
                <w:color w:val="3465B0"/>
                <w:sz w:val="16"/>
              </w:rPr>
              <w:t>not</w:t>
            </w:r>
          </w:p>
          <w:p>
            <w:pPr>
              <w:pStyle w:val="TableContents"/>
              <w:bidi w:val="0"/>
              <w:jc w:val="center"/>
              <w:rPr>
                <w:rFonts w:ascii="Outfit;sans-serif" w:hAnsi="Outfit;sans-serif"/>
                <w:b/>
                <w:color w:val="3465B0"/>
                <w:sz w:val="16"/>
              </w:rPr>
            </w:pPr>
            <w:r>
              <w:rPr>
                <w:rFonts w:ascii="Outfit;sans-serif" w:hAnsi="Outfit;sans-serif"/>
                <w:b/>
                <w:color w:val="3465B0"/>
                <w:sz w:val="16"/>
              </w:rPr>
              <w:t>vested</w:t>
            </w:r>
          </w:p>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w:t>
            </w:r>
          </w:p>
        </w:tc>
        <w:tc>
          <w:tcPr>
            <w:tcW w:w="146" w:type="dxa"/>
            <w:tcBorders>
              <w:bottom w:val="single" w:sz="12" w:space="0" w:color="3565B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6"/>
              </w:rPr>
            </w:pPr>
            <w:r>
              <w:rPr>
                <w:rFonts w:ascii="Outfit;sans-serif" w:hAnsi="Outfit;sans-serif"/>
                <w:b/>
                <w:color w:val="3465B0"/>
                <w:sz w:val="16"/>
              </w:rPr>
              <w:t>Market</w:t>
            </w:r>
          </w:p>
          <w:p>
            <w:pPr>
              <w:pStyle w:val="TableContents"/>
              <w:bidi w:val="0"/>
              <w:jc w:val="center"/>
              <w:rPr>
                <w:rFonts w:ascii="Outfit;sans-serif" w:hAnsi="Outfit;sans-serif"/>
                <w:b/>
                <w:color w:val="3465B0"/>
                <w:sz w:val="16"/>
              </w:rPr>
            </w:pPr>
            <w:r>
              <w:rPr>
                <w:rFonts w:ascii="Outfit;sans-serif" w:hAnsi="Outfit;sans-serif"/>
                <w:b/>
                <w:color w:val="3465B0"/>
                <w:sz w:val="16"/>
              </w:rPr>
              <w:t>value of</w:t>
            </w:r>
          </w:p>
          <w:p>
            <w:pPr>
              <w:pStyle w:val="TableContents"/>
              <w:bidi w:val="0"/>
              <w:jc w:val="center"/>
              <w:rPr>
                <w:rFonts w:ascii="Outfit;sans-serif" w:hAnsi="Outfit;sans-serif"/>
                <w:b/>
                <w:color w:val="3465B0"/>
                <w:sz w:val="16"/>
              </w:rPr>
            </w:pPr>
            <w:r>
              <w:rPr>
                <w:rFonts w:ascii="Outfit;sans-serif" w:hAnsi="Outfit;sans-serif"/>
                <w:b/>
                <w:color w:val="3465B0"/>
                <w:sz w:val="16"/>
              </w:rPr>
              <w:t>shares or</w:t>
            </w:r>
          </w:p>
          <w:p>
            <w:pPr>
              <w:pStyle w:val="TableContents"/>
              <w:bidi w:val="0"/>
              <w:jc w:val="center"/>
              <w:rPr>
                <w:rFonts w:ascii="Outfit;sans-serif" w:hAnsi="Outfit;sans-serif"/>
                <w:b/>
                <w:color w:val="3465B0"/>
                <w:sz w:val="16"/>
              </w:rPr>
            </w:pPr>
            <w:r>
              <w:rPr>
                <w:rFonts w:ascii="Outfit;sans-serif" w:hAnsi="Outfit;sans-serif"/>
                <w:b/>
                <w:color w:val="3465B0"/>
                <w:sz w:val="16"/>
              </w:rPr>
              <w:t>units of</w:t>
            </w:r>
          </w:p>
          <w:p>
            <w:pPr>
              <w:pStyle w:val="TableContents"/>
              <w:bidi w:val="0"/>
              <w:jc w:val="center"/>
              <w:rPr>
                <w:rFonts w:ascii="Outfit;sans-serif" w:hAnsi="Outfit;sans-serif"/>
                <w:b/>
                <w:color w:val="3465B0"/>
                <w:sz w:val="16"/>
              </w:rPr>
            </w:pPr>
            <w:r>
              <w:rPr>
                <w:rFonts w:ascii="Outfit;sans-serif" w:hAnsi="Outfit;sans-serif"/>
                <w:b/>
                <w:color w:val="3465B0"/>
                <w:sz w:val="16"/>
              </w:rPr>
              <w:t>stock that</w:t>
            </w:r>
          </w:p>
          <w:p>
            <w:pPr>
              <w:pStyle w:val="TableContents"/>
              <w:bidi w:val="0"/>
              <w:jc w:val="center"/>
              <w:rPr>
                <w:rFonts w:ascii="Outfit;sans-serif" w:hAnsi="Outfit;sans-serif"/>
                <w:b/>
                <w:color w:val="3465B0"/>
                <w:sz w:val="16"/>
              </w:rPr>
            </w:pPr>
            <w:r>
              <w:rPr>
                <w:rFonts w:ascii="Outfit;sans-serif" w:hAnsi="Outfit;sans-serif"/>
                <w:b/>
                <w:color w:val="3465B0"/>
                <w:sz w:val="16"/>
              </w:rPr>
              <w:t>have not</w:t>
            </w:r>
          </w:p>
          <w:p>
            <w:pPr>
              <w:pStyle w:val="TableContents"/>
              <w:bidi w:val="0"/>
              <w:spacing w:before="0" w:after="283"/>
              <w:jc w:val="center"/>
              <w:rPr>
                <w:rFonts w:ascii="Times New Roman" w:hAnsi="Times New Roman"/>
                <w:sz w:val="16"/>
              </w:rPr>
            </w:pPr>
            <w:r>
              <w:rPr>
                <w:rFonts w:ascii="Outfit;sans-serif" w:hAnsi="Outfit;sans-serif"/>
                <w:b/>
                <w:color w:val="3465B0"/>
                <w:sz w:val="16"/>
              </w:rPr>
              <w:t xml:space="preserve">vested </w:t>
              <w:br/>
              <w:t>($)</w:t>
            </w:r>
            <w:r>
              <w:rPr>
                <w:rFonts w:ascii="Outfit;sans-serif" w:hAnsi="Outfit;sans-serif"/>
                <w:b/>
                <w:color w:val="3465B0"/>
                <w:sz w:val="11"/>
              </w:rPr>
              <w:t>(1)</w:t>
            </w:r>
          </w:p>
        </w:tc>
      </w:tr>
      <w:tr>
        <w:trPr/>
        <w:tc>
          <w:tcPr>
            <w:tcW w:w="856" w:type="dxa"/>
            <w:vMerge w:val="restart"/>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Jason Trevisan</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02/10/2021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262,850</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35.61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02/10/2031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5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146" w:type="dxa"/>
            <w:tcBorders>
              <w:top w:val="single" w:sz="12" w:space="0" w:color="000000"/>
            </w:tcBorders>
            <w:shd w:fill="D9E1EB" w:val="clear"/>
            <w:tcMar>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02/07/2024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137,575</w:t>
            </w:r>
            <w:r>
              <w:rPr>
                <w:rFonts w:ascii="Outfit;sans-serif" w:hAnsi="Outfit;sans-serif"/>
                <w:color w:val="000000"/>
                <w:sz w:val="11"/>
              </w:rPr>
              <w:t>(2)</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5,276,001</w:t>
            </w:r>
          </w:p>
        </w:tc>
      </w:tr>
      <w:tr>
        <w:trPr/>
        <w:tc>
          <w:tcPr>
            <w:tcW w:w="85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146" w:type="dxa"/>
            <w:tcBorders>
              <w:top w:val="single" w:sz="12" w:space="0" w:color="000000"/>
            </w:tcBorders>
            <w:shd w:fill="D9E1EB" w:val="clear"/>
            <w:tcMar>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169,651</w:t>
            </w:r>
            <w:r>
              <w:rPr>
                <w:rFonts w:ascii="Outfit;sans-serif" w:hAnsi="Outfit;sans-serif"/>
                <w:color w:val="000000"/>
                <w:sz w:val="11"/>
              </w:rPr>
              <w:t>(3)</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6,506,116</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Elisa Palazzo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r>
      <w:tr>
        <w:trPr/>
        <w:tc>
          <w:tcPr>
            <w:tcW w:w="856" w:type="dxa"/>
            <w:tcBorders/>
            <w:shd w:fill="D9E1EB" w:val="clear"/>
            <w:tcMar>
              <w:top w:w="0" w:type="dxa"/>
              <w:left w:w="0" w:type="dxa"/>
              <w:bottom w:w="0" w:type="dxa"/>
              <w:right w:w="0" w:type="dxa"/>
            </w:tcMar>
            <w:vAlign w:val="center"/>
          </w:tcPr>
          <w:p>
            <w:pPr>
              <w:pStyle w:val="TableContents"/>
              <w:bidi w:val="0"/>
              <w:spacing w:before="0" w:after="20"/>
              <w:jc w:val="left"/>
              <w:rPr>
                <w:rFonts w:ascii="Outfit;sans-serif" w:hAnsi="Outfit;sans-serif"/>
                <w:color w:val="000000"/>
                <w:sz w:val="16"/>
              </w:rPr>
            </w:pPr>
            <w:r>
              <w:rPr>
                <w:rFonts w:ascii="Outfit;sans-serif" w:hAnsi="Outfit;sans-serif"/>
                <w:color w:val="000000"/>
                <w:sz w:val="16"/>
              </w:rPr>
              <w:t>Langley Steinert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02/10/2021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36,507</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35.61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02/10/2031</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r>
      <w:tr>
        <w:trPr/>
        <w:tc>
          <w:tcPr>
            <w:tcW w:w="856" w:type="dxa"/>
            <w:tcBorders/>
            <w:shd w:fill="D9E1EB" w:val="clear"/>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02/08/2022</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01/01/2022</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4,480</w:t>
            </w:r>
            <w:r>
              <w:rPr>
                <w:rFonts w:ascii="Outfit;sans-serif" w:hAnsi="Outfit;sans-serif"/>
                <w:color w:val="000000"/>
                <w:sz w:val="11"/>
              </w:rPr>
              <w:t>(4)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171,808</w:t>
            </w:r>
          </w:p>
        </w:tc>
      </w:tr>
      <w:tr>
        <w:trPr/>
        <w:tc>
          <w:tcPr>
            <w:tcW w:w="856" w:type="dxa"/>
            <w:tcBorders/>
            <w:shd w:fill="D9E1EB" w:val="clear"/>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02/16/2023</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01/01/2023</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46,726</w:t>
            </w:r>
            <w:r>
              <w:rPr>
                <w:rFonts w:ascii="Outfit;sans-serif" w:hAnsi="Outfit;sans-serif"/>
                <w:color w:val="000000"/>
                <w:sz w:val="11"/>
              </w:rPr>
              <w:t>(5)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1,791,942</w:t>
            </w:r>
          </w:p>
        </w:tc>
      </w:tr>
      <w:tr>
        <w:trPr/>
        <w:tc>
          <w:tcPr>
            <w:tcW w:w="856" w:type="dxa"/>
            <w:tcBorders/>
            <w:shd w:fill="D9E1EB" w:val="clear"/>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02/07/2024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60,458</w:t>
            </w:r>
            <w:r>
              <w:rPr>
                <w:rFonts w:ascii="Outfit;sans-serif" w:hAnsi="Outfit;sans-serif"/>
                <w:color w:val="000000"/>
                <w:sz w:val="11"/>
              </w:rPr>
              <w:t>(6)</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2,318,564</w:t>
            </w:r>
          </w:p>
        </w:tc>
      </w:tr>
      <w:tr>
        <w:trPr/>
        <w:tc>
          <w:tcPr>
            <w:tcW w:w="856" w:type="dxa"/>
            <w:tcBorders/>
            <w:shd w:fill="D9E1EB" w:val="clear"/>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65,251</w:t>
            </w:r>
            <w:r>
              <w:rPr>
                <w:rFonts w:ascii="Outfit;sans-serif" w:hAnsi="Outfit;sans-serif"/>
                <w:color w:val="000000"/>
                <w:sz w:val="11"/>
              </w:rPr>
              <w:t>(3)</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2,502,376</w:t>
            </w:r>
          </w:p>
        </w:tc>
      </w:tr>
      <w:tr>
        <w:trPr/>
        <w:tc>
          <w:tcPr>
            <w:tcW w:w="856" w:type="dxa"/>
            <w:vMerge w:val="restart"/>
            <w:tcBorders/>
            <w:tcMar>
              <w:top w:w="0" w:type="dxa"/>
              <w:left w:w="0" w:type="dxa"/>
              <w:bottom w:w="0" w:type="dxa"/>
              <w:right w:w="0" w:type="dxa"/>
            </w:tcMar>
            <w:vAlign w:val="center"/>
          </w:tcPr>
          <w:p>
            <w:pPr>
              <w:pStyle w:val="TableContents"/>
              <w:bidi w:val="0"/>
              <w:spacing w:before="0" w:after="20"/>
              <w:jc w:val="left"/>
              <w:rPr>
                <w:rFonts w:ascii="Outfit;sans-serif" w:hAnsi="Outfit;sans-serif"/>
                <w:color w:val="000000"/>
                <w:sz w:val="16"/>
              </w:rPr>
            </w:pPr>
            <w:r>
              <w:rPr>
                <w:rFonts w:ascii="Outfit;sans-serif" w:hAnsi="Outfit;sans-serif"/>
                <w:color w:val="000000"/>
                <w:sz w:val="16"/>
              </w:rPr>
              <w:t>Matthew Quinn</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01/03/2022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28,373</w:t>
            </w:r>
            <w:r>
              <w:rPr>
                <w:rFonts w:ascii="Outfit;sans-serif" w:hAnsi="Outfit;sans-serif"/>
                <w:color w:val="000000"/>
                <w:sz w:val="11"/>
              </w:rPr>
              <w:t>(7)</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1,893</w:t>
            </w:r>
            <w:r>
              <w:rPr>
                <w:rFonts w:ascii="Outfit;sans-serif" w:hAnsi="Outfit;sans-serif"/>
                <w:color w:val="000000"/>
                <w:sz w:val="11"/>
              </w:rPr>
              <w:t>(7)</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35.00</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01/03/2032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01/03/2022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1,786</w:t>
            </w:r>
            <w:r>
              <w:rPr>
                <w:rFonts w:ascii="Outfit;sans-serif" w:hAnsi="Outfit;sans-serif"/>
                <w:color w:val="000000"/>
                <w:sz w:val="11"/>
              </w:rPr>
              <w:t>(8)</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68,493</w:t>
            </w:r>
          </w:p>
        </w:tc>
      </w:tr>
      <w:tr>
        <w:trPr/>
        <w:tc>
          <w:tcPr>
            <w:tcW w:w="8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02/08/2022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01/01/2022</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892</w:t>
            </w:r>
            <w:r>
              <w:rPr>
                <w:rFonts w:ascii="Outfit;sans-serif" w:hAnsi="Outfit;sans-serif"/>
                <w:color w:val="000000"/>
                <w:sz w:val="11"/>
              </w:rPr>
              <w:t>(9)</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34,208</w:t>
            </w:r>
          </w:p>
        </w:tc>
      </w:tr>
      <w:tr>
        <w:trPr/>
        <w:tc>
          <w:tcPr>
            <w:tcW w:w="8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02/16/2023</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01/01/2023</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31,774</w:t>
            </w:r>
            <w:r>
              <w:rPr>
                <w:rFonts w:ascii="Outfit;sans-serif" w:hAnsi="Outfit;sans-serif"/>
                <w:color w:val="000000"/>
                <w:sz w:val="11"/>
              </w:rPr>
              <w:t>(5)</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1,218,533</w:t>
            </w:r>
          </w:p>
        </w:tc>
      </w:tr>
      <w:tr>
        <w:trPr/>
        <w:tc>
          <w:tcPr>
            <w:tcW w:w="8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02/07/2024</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01/01/2024</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50,785</w:t>
            </w:r>
            <w:r>
              <w:rPr>
                <w:rFonts w:ascii="Outfit;sans-serif" w:hAnsi="Outfit;sans-serif"/>
                <w:color w:val="000000"/>
                <w:sz w:val="11"/>
              </w:rPr>
              <w:t>(6)</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1,947,605</w:t>
            </w:r>
          </w:p>
        </w:tc>
      </w:tr>
      <w:tr>
        <w:trPr/>
        <w:tc>
          <w:tcPr>
            <w:tcW w:w="85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01/01/2025</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36,540</w:t>
            </w:r>
            <w:r>
              <w:rPr>
                <w:rFonts w:ascii="Outfit;sans-serif" w:hAnsi="Outfit;sans-serif"/>
                <w:color w:val="000000"/>
                <w:sz w:val="11"/>
              </w:rPr>
              <w:t>(3)</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1,401,309</w:t>
            </w:r>
          </w:p>
        </w:tc>
      </w:tr>
      <w:tr>
        <w:trPr/>
        <w:tc>
          <w:tcPr>
            <w:tcW w:w="856" w:type="dxa"/>
            <w:vMerge w:val="restart"/>
            <w:tcBorders/>
            <w:shd w:fill="D9E1EB" w:val="clear"/>
            <w:tcMar>
              <w:top w:w="0" w:type="dxa"/>
              <w:left w:w="0" w:type="dxa"/>
              <w:bottom w:w="0" w:type="dxa"/>
              <w:right w:w="0" w:type="dxa"/>
            </w:tcMar>
            <w:vAlign w:val="center"/>
          </w:tcPr>
          <w:p>
            <w:pPr>
              <w:pStyle w:val="TableContents"/>
              <w:bidi w:val="0"/>
              <w:spacing w:before="0" w:after="20"/>
              <w:jc w:val="left"/>
              <w:rPr>
                <w:rFonts w:ascii="Outfit;sans-serif" w:hAnsi="Outfit;sans-serif"/>
                <w:color w:val="000000"/>
                <w:sz w:val="16"/>
              </w:rPr>
            </w:pPr>
            <w:r>
              <w:rPr>
                <w:rFonts w:ascii="Outfit;sans-serif" w:hAnsi="Outfit;sans-serif"/>
                <w:color w:val="000000"/>
                <w:sz w:val="16"/>
              </w:rPr>
              <w:t>Samuel Zales</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02/07/2024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01/01/2024</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82,545</w:t>
            </w:r>
            <w:r>
              <w:rPr>
                <w:rFonts w:ascii="Outfit;sans-serif" w:hAnsi="Outfit;sans-serif"/>
                <w:color w:val="000000"/>
                <w:sz w:val="11"/>
              </w:rPr>
              <w:t>(2)</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3,165,601</w:t>
            </w:r>
          </w:p>
        </w:tc>
      </w:tr>
      <w:tr>
        <w:trPr/>
        <w:tc>
          <w:tcPr>
            <w:tcW w:w="856" w:type="dxa"/>
            <w:vMerge w:val="continue"/>
            <w:tcBorders/>
            <w:shd w:fill="D9E1EB" w:val="clear"/>
            <w:tcMar>
              <w:top w:w="0" w:type="dxa"/>
              <w:left w:w="0" w:type="dxa"/>
              <w:bottom w:w="0" w:type="dxa"/>
              <w:right w:w="0" w:type="dxa"/>
            </w:tcMar>
            <w:vAlign w:val="center"/>
          </w:tcPr>
          <w:p>
            <w:pPr>
              <w:pStyle w:val="Normal"/>
              <w:bidi w:val="0"/>
              <w:jc w:val="left"/>
              <w:rPr/>
            </w:pPr>
            <w:r>
              <w:rPr/>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61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03/17/2025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5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01/01/2025</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23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396"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7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0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826" w:type="dxa"/>
            <w:tcBorders/>
            <w:shd w:fill="D9E1EB" w:val="clear"/>
            <w:tcMar>
              <w:top w:w="0" w:type="dxa"/>
              <w:left w:w="0" w:type="dxa"/>
              <w:bottom w:w="0" w:type="dxa"/>
              <w:right w:w="0" w:type="dxa"/>
            </w:tcMar>
            <w:vAlign w:val="center"/>
          </w:tcPr>
          <w:p>
            <w:pPr>
              <w:pStyle w:val="TableContents"/>
              <w:bidi w:val="0"/>
              <w:spacing w:before="0" w:after="20"/>
              <w:jc w:val="right"/>
              <w:rPr>
                <w:rFonts w:ascii="Times New Roman" w:hAnsi="Times New Roman"/>
                <w:sz w:val="16"/>
              </w:rPr>
            </w:pPr>
            <w:r>
              <w:rPr>
                <w:rFonts w:ascii="Outfit;sans-serif" w:hAnsi="Outfit;sans-serif"/>
                <w:color w:val="000000"/>
                <w:sz w:val="16"/>
              </w:rPr>
              <w:t>109,621</w:t>
            </w:r>
            <w:r>
              <w:rPr>
                <w:rFonts w:ascii="Outfit;sans-serif" w:hAnsi="Outfit;sans-serif"/>
                <w:color w:val="000000"/>
                <w:sz w:val="11"/>
              </w:rPr>
              <w:t>(3)</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976"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6"/>
              </w:rPr>
            </w:pPr>
            <w:r>
              <w:rPr>
                <w:rFonts w:ascii="Outfit;sans-serif" w:hAnsi="Outfit;sans-serif"/>
                <w:color w:val="000000"/>
                <w:sz w:val="16"/>
              </w:rPr>
              <w:t>4,203,965</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market price for our Class A common stock is based on $38.35 per share, the closing market price of our Class A common stock on December 31, 2025. Our Class B common stock is valued the same as our Class A common stock.</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(i) 4.17% of the shares of our Class A common stock subject to this RSU award vested on April 1, 2024, and on the first day of each three-month period thereafter until October 1, 2024; (ii) 9.38% of the shares subject to this RSU award vested on January 1, 2025; (iii) 9.37% of the shares subject to this RSU award vested on the first day of each three-month period thereafter until October 1, 2025; and (iv) 6.25% of the shares subject to this RSU award will vest or have vested, as applicable, on the first day of each three-month period from January 1, 2026 until October 1, 2027, contingent upon the named executive officer remaining continuously employed by us through each applicable vesting date.</w:t>
      </w:r>
    </w:p>
    <w:p>
      <w:pPr>
        <w:pStyle w:val="TextBody"/>
        <w:bidi w:val="0"/>
        <w:spacing w:before="120" w:after="283"/>
        <w:jc w:val="both"/>
        <w:rPr>
          <w:rFonts w:ascii="Outfit" w:hAnsi="Outfit"/>
          <w:color w:val="000000"/>
          <w:sz w:val="20"/>
        </w:rPr>
      </w:pPr>
      <w:r>
        <w:rPr>
          <w:rFonts w:ascii="Outfit" w:hAnsi="Outfit"/>
          <w:color w:val="000000"/>
          <w:sz w:val="20"/>
        </w:rPr>
        <w:t>(3)</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 xml:space="preserve">6.25% of the shares of our Class A common stock subject to this RSU award vested on April 1, 2025, and 6.25% of the shares subject to this RSU award will vest or have vested, as applicable, on the first day of each three-month period thereafter until January 1, 2029, contingent upon the named executive officer remaining continuously employed by us through each applicable vesting date </w:t>
      </w:r>
    </w:p>
    <w:p>
      <w:pPr>
        <w:pStyle w:val="TextBody"/>
        <w:bidi w:val="0"/>
        <w:spacing w:before="120" w:after="283"/>
        <w:jc w:val="both"/>
        <w:rPr>
          <w:rFonts w:ascii="Outfit" w:hAnsi="Outfit"/>
          <w:color w:val="000000"/>
          <w:sz w:val="20"/>
        </w:rPr>
      </w:pPr>
      <w:r>
        <w:rPr>
          <w:rFonts w:ascii="Outfit" w:hAnsi="Outfit"/>
          <w:color w:val="000000"/>
          <w:sz w:val="20"/>
        </w:rPr>
        <w:t>(4)</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6.25% of the shares of our Class A common stock subject to this RSU award vested on April 1, 2022, and 6.25% of the shares subject to this RSU award vested on the first day of each three-month period thereafter until January 1, 2026, contingent upon Mr. Steinert remaining continuously employed by us through each applicable vesting date.</w:t>
      </w:r>
    </w:p>
    <w:p>
      <w:pPr>
        <w:pStyle w:val="TextBody"/>
        <w:bidi w:val="0"/>
        <w:spacing w:before="120" w:after="283"/>
        <w:jc w:val="both"/>
        <w:rPr>
          <w:rFonts w:ascii="Outfit" w:hAnsi="Outfit"/>
          <w:color w:val="000000"/>
          <w:sz w:val="20"/>
        </w:rPr>
      </w:pPr>
      <w:r>
        <w:rPr>
          <w:rFonts w:ascii="Outfit" w:hAnsi="Outfit"/>
          <w:color w:val="000000"/>
          <w:sz w:val="20"/>
        </w:rPr>
        <w:t>(5)</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6.25% of the shares of our Class A common stock subject to this RSU award vested on April 1, 2023, and 6.25% of the shares subject to this RSU award will vest or have vested, as applicable, on the first day of each three-month period thereafter until January 1, 2027, contingent upon the named executive officer remaining continuously employed by us through each applicable vesting date.</w:t>
      </w:r>
    </w:p>
    <w:p>
      <w:pPr>
        <w:pStyle w:val="TextBody"/>
        <w:bidi w:val="0"/>
        <w:jc w:val="center"/>
        <w:rPr>
          <w:rFonts w:ascii="Outfit;sans-serif" w:hAnsi="Outfit;sans-serif"/>
          <w:color w:val="000000"/>
          <w:sz w:val="22"/>
        </w:rPr>
      </w:pPr>
      <w:r>
        <w:rPr>
          <w:rFonts w:ascii="Outfit;sans-serif" w:hAnsi="Outfit;sans-serif"/>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 w:hAnsi="Outfit"/>
          <w:color w:val="000000"/>
          <w:sz w:val="20"/>
        </w:rPr>
      </w:pPr>
      <w:r>
        <w:rPr>
          <w:rFonts w:ascii="Outfit" w:hAnsi="Outfit"/>
          <w:color w:val="000000"/>
          <w:sz w:val="20"/>
        </w:rPr>
        <w:t>(6)</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6.25% of the shares of our Class A common stock subject to this RSU award vested on April 1, 2024, and 6.25% of the shares subject to this RSU award will vest or have vested, as applicable, on the first day of each three-month period thereafter until January 1, 2028, contingent upon the named executive officer remaining continuously employed by us through each applicable vesting date.</w:t>
      </w:r>
    </w:p>
    <w:p>
      <w:pPr>
        <w:pStyle w:val="TextBody"/>
        <w:bidi w:val="0"/>
        <w:spacing w:before="120" w:after="283"/>
        <w:jc w:val="both"/>
        <w:rPr>
          <w:rFonts w:ascii="Outfit" w:hAnsi="Outfit"/>
          <w:color w:val="000000"/>
          <w:sz w:val="20"/>
        </w:rPr>
      </w:pPr>
      <w:r>
        <w:rPr>
          <w:rFonts w:ascii="Outfit" w:hAnsi="Outfit"/>
          <w:color w:val="000000"/>
          <w:sz w:val="20"/>
        </w:rPr>
        <w:t>(7)</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25% of the shares of our Class A common stock underlying this NQSO award vested on January 1, 2023, and 6.25% of the shares underlying this NQSO award vested on the first day of each three-month period thereafter until January 1, 2026, contingent upon Mr. Quinn remaining continuously employed by us through each applicable vesting date.</w:t>
      </w:r>
    </w:p>
    <w:p>
      <w:pPr>
        <w:pStyle w:val="TextBody"/>
        <w:bidi w:val="0"/>
        <w:spacing w:before="120" w:after="283"/>
        <w:jc w:val="both"/>
        <w:rPr>
          <w:rFonts w:ascii="Outfit" w:hAnsi="Outfit"/>
          <w:color w:val="000000"/>
          <w:sz w:val="20"/>
        </w:rPr>
      </w:pPr>
      <w:r>
        <w:rPr>
          <w:rFonts w:ascii="Outfit" w:hAnsi="Outfit"/>
          <w:color w:val="000000"/>
          <w:sz w:val="20"/>
        </w:rPr>
        <w:t>(8)</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25% of the shares of our Class A common stock subject to this RSU award vested on January 1, 2023, and 6.25% of the shares subject to this RSU award vested on the first day of each three-month period thereafter until January 1, 2026, contingent upon Mr. Quinn remaining continuously employed by us through each applicable vesting date.</w:t>
      </w:r>
    </w:p>
    <w:p>
      <w:pPr>
        <w:pStyle w:val="TextBody"/>
        <w:bidi w:val="0"/>
        <w:spacing w:before="120" w:after="283"/>
        <w:jc w:val="both"/>
        <w:rPr>
          <w:rFonts w:ascii="Outfit" w:hAnsi="Outfit"/>
          <w:color w:val="000000"/>
          <w:sz w:val="20"/>
        </w:rPr>
      </w:pPr>
      <w:r>
        <w:rPr>
          <w:rFonts w:ascii="Outfit" w:hAnsi="Outfit"/>
          <w:color w:val="000000"/>
          <w:sz w:val="20"/>
        </w:rPr>
        <w:t>(9)</w:t>
      </w:r>
    </w:p>
    <w:p>
      <w:pPr>
        <w:pStyle w:val="TextBody"/>
        <w:bidi w:val="0"/>
        <w:spacing w:before="120" w:after="283"/>
        <w:jc w:val="both"/>
        <w:rPr/>
      </w:pPr>
      <w:r>
        <w:rPr>
          <w:rFonts w:ascii="Outfit;sans-serif" w:hAnsi="Outfit;sans-serif"/>
          <w:color w:val="000000"/>
          <w:sz w:val="20"/>
        </w:rPr>
        <w:t xml:space="preserve">In 2022 Mr. Quinn was granted a performance-based RSU award. The terms of Mr. Quinn’s performance-based RSU award were subsequently amended in February 2022 to convert the award to time-based RSUs (the 2022 PSU Amendment). Please see the </w:t>
      </w:r>
      <w:r>
        <w:rPr>
          <w:color w:val="000000"/>
        </w:rPr>
        <w:t>“</w:t>
      </w:r>
      <w:r>
        <w:rPr>
          <w:rFonts w:ascii="Outfit;sans-serif" w:hAnsi="Outfit;sans-serif"/>
          <w:i/>
          <w:color w:val="000000"/>
          <w:sz w:val="20"/>
        </w:rPr>
        <w:t>Modification of 2021 and 2022 Performance-Based Equity Grants”</w:t>
      </w:r>
      <w:r>
        <w:rPr>
          <w:color w:val="000000"/>
        </w:rPr>
        <w:t xml:space="preserve"> </w:t>
      </w:r>
      <w:r>
        <w:rPr>
          <w:rFonts w:ascii="Outfit;sans-serif" w:hAnsi="Outfit;sans-serif"/>
          <w:color w:val="000000"/>
          <w:sz w:val="20"/>
        </w:rPr>
        <w:t>section of our proxy statement for our 2023 annual meeting of stockholders filed with the SEC on April 26, 2023 (2023 Proxy Statement) for more information. This table gives effect to the 2022 PSU Amendment. 25% of the shares of our Class A common stock subject to this RSU award vested on January 1, 2023, and 6.25% of the shares subject to this RSU award vested on the first day of each three-month period thereafter until January 1, 2026, contingent upon Mr. Quinn remaining continuously employed by us through each applicable vesting date.</w:t>
      </w:r>
    </w:p>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2025 Option Exercises and Stock Vested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presents, for each of our named executive officers, information regarding the number and value of stock options exercised and RSU awards vested during the year ended December 31, 2025.</w:t>
      </w:r>
    </w:p>
    <w:tbl>
      <w:tblPr>
        <w:tblW w:w="10205" w:type="dxa"/>
        <w:jc w:val="left"/>
        <w:tblInd w:w="0" w:type="dxa"/>
        <w:tblLayout w:type="fixed"/>
        <w:tblCellMar>
          <w:top w:w="28" w:type="dxa"/>
          <w:left w:w="28" w:type="dxa"/>
          <w:bottom w:w="28" w:type="dxa"/>
          <w:right w:w="28" w:type="dxa"/>
        </w:tblCellMar>
      </w:tblPr>
      <w:tblGrid>
        <w:gridCol w:w="1554"/>
        <w:gridCol w:w="2351"/>
        <w:gridCol w:w="1423"/>
        <w:gridCol w:w="146"/>
        <w:gridCol w:w="146"/>
        <w:gridCol w:w="2325"/>
        <w:gridCol w:w="2260"/>
      </w:tblGrid>
      <w:tr>
        <w:trPr/>
        <w:tc>
          <w:tcPr>
            <w:tcW w:w="155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1554" w:type="dxa"/>
            <w:tcBorders/>
            <w:tcMar>
              <w:top w:w="0" w:type="dxa"/>
              <w:left w:w="0" w:type="dxa"/>
              <w:bottom w:w="0" w:type="dxa"/>
              <w:right w:w="0" w:type="dxa"/>
            </w:tcMar>
            <w:vAlign w:val="center"/>
          </w:tcPr>
          <w:p>
            <w:pPr>
              <w:pStyle w:val="TableContents"/>
              <w:bidi w:val="0"/>
              <w:spacing w:before="0" w:after="283"/>
              <w:jc w:val="left"/>
              <w:rPr/>
            </w:pPr>
            <w:r>
              <w:rPr/>
              <w:t> </w:t>
            </w:r>
          </w:p>
        </w:tc>
        <w:tc>
          <w:tcPr>
            <w:tcW w:w="3774"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Option Awards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85"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Stock Awards</w:t>
            </w:r>
          </w:p>
        </w:tc>
      </w:tr>
      <w:tr>
        <w:trPr/>
        <w:tc>
          <w:tcPr>
            <w:tcW w:w="1554"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Name</w:t>
            </w:r>
          </w:p>
        </w:tc>
        <w:tc>
          <w:tcPr>
            <w:tcW w:w="235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Number of shares acquired on exercise (#)</w:t>
            </w:r>
            <w:r>
              <w:rPr>
                <w:rFonts w:ascii="Outfit;sans-serif" w:hAnsi="Outfit;sans-serif"/>
                <w:b/>
                <w:color w:val="3465B0"/>
                <w:sz w:val="15"/>
              </w:rPr>
              <w:t>(1)</w:t>
            </w:r>
          </w:p>
        </w:tc>
        <w:tc>
          <w:tcPr>
            <w:tcW w:w="1423"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Value realized</w:t>
              <w:br/>
              <w:t>on exercise ($)</w:t>
            </w:r>
            <w:r>
              <w:rPr>
                <w:rFonts w:ascii="Outfit;sans-serif" w:hAnsi="Outfit;sans-serif"/>
                <w:b/>
                <w:color w:val="3465B0"/>
                <w:sz w:val="15"/>
              </w:rPr>
              <w:t>(2)</w:t>
            </w:r>
          </w:p>
        </w:tc>
        <w:tc>
          <w:tcPr>
            <w:tcW w:w="146" w:type="dxa"/>
            <w:tcBorders>
              <w:bottom w:val="single" w:sz="8" w:space="0" w:color="8DB3E2"/>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8" w:space="0" w:color="8DB3E2"/>
            </w:tcBorders>
            <w:tcMar>
              <w:top w:w="0" w:type="dxa"/>
              <w:left w:w="0" w:type="dxa"/>
              <w:right w:w="0" w:type="dxa"/>
            </w:tcMar>
            <w:vAlign w:val="center"/>
          </w:tcPr>
          <w:p>
            <w:pPr>
              <w:pStyle w:val="TableContents"/>
              <w:bidi w:val="0"/>
              <w:spacing w:before="0" w:after="283"/>
              <w:jc w:val="center"/>
              <w:rPr/>
            </w:pPr>
            <w:r>
              <w:rPr/>
              <w:t> </w:t>
            </w:r>
          </w:p>
        </w:tc>
        <w:tc>
          <w:tcPr>
            <w:tcW w:w="2325"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Number of shares acquired on vesting (#)</w:t>
            </w:r>
            <w:r>
              <w:rPr>
                <w:rFonts w:ascii="Outfit;sans-serif" w:hAnsi="Outfit;sans-serif"/>
                <w:b/>
                <w:color w:val="3465B0"/>
                <w:sz w:val="15"/>
              </w:rPr>
              <w:t>(3)</w:t>
            </w:r>
          </w:p>
        </w:tc>
        <w:tc>
          <w:tcPr>
            <w:tcW w:w="2260"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22"/>
              </w:rPr>
            </w:pPr>
            <w:r>
              <w:rPr>
                <w:rFonts w:ascii="Outfit;sans-serif" w:hAnsi="Outfit;sans-serif"/>
                <w:b/>
                <w:color w:val="3465B0"/>
                <w:sz w:val="22"/>
              </w:rPr>
              <w:t>Value realized on vesting ($)</w:t>
            </w:r>
            <w:r>
              <w:rPr>
                <w:rFonts w:ascii="Outfit;sans-serif" w:hAnsi="Outfit;sans-serif"/>
                <w:b/>
                <w:color w:val="3465B0"/>
                <w:sz w:val="15"/>
              </w:rPr>
              <w:t>(4)</w:t>
            </w:r>
          </w:p>
        </w:tc>
      </w:tr>
      <w:tr>
        <w:trPr/>
        <w:tc>
          <w:tcPr>
            <w:tcW w:w="15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Jason Trevisan</w:t>
            </w:r>
          </w:p>
        </w:tc>
        <w:tc>
          <w:tcPr>
            <w:tcW w:w="23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32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185,197</w:t>
            </w:r>
          </w:p>
        </w:tc>
        <w:tc>
          <w:tcPr>
            <w:tcW w:w="2260"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6,358,381</w:t>
            </w:r>
          </w:p>
        </w:tc>
      </w:tr>
      <w:tr>
        <w:trPr/>
        <w:tc>
          <w:tcPr>
            <w:tcW w:w="1554"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Elisa Palazzo</w:t>
            </w:r>
          </w:p>
        </w:tc>
        <w:tc>
          <w:tcPr>
            <w:tcW w:w="2351"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3"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2325"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5,724</w:t>
            </w:r>
          </w:p>
        </w:tc>
        <w:tc>
          <w:tcPr>
            <w:tcW w:w="2260" w:type="dxa"/>
            <w:tcBorders/>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182,424</w:t>
            </w:r>
          </w:p>
        </w:tc>
      </w:tr>
      <w:tr>
        <w:trPr/>
        <w:tc>
          <w:tcPr>
            <w:tcW w:w="15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Langley Steinert</w:t>
            </w:r>
          </w:p>
        </w:tc>
        <w:tc>
          <w:tcPr>
            <w:tcW w:w="2351"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3"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32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100,516</w:t>
            </w:r>
          </w:p>
        </w:tc>
        <w:tc>
          <w:tcPr>
            <w:tcW w:w="2260"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3,421,200</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Matthew Quinn</w:t>
            </w:r>
          </w:p>
        </w:tc>
        <w:tc>
          <w:tcPr>
            <w:tcW w:w="2351"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3" w:type="dxa"/>
            <w:tcBorders/>
            <w:shd w:fill="FFFFFF"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0"/>
              <w:jc w:val="right"/>
              <w:rPr/>
            </w:pPr>
            <w:r>
              <w:rPr/>
              <w:t> </w:t>
            </w:r>
          </w:p>
        </w:tc>
        <w:tc>
          <w:tcPr>
            <w:tcW w:w="2325" w:type="dxa"/>
            <w:tcBorders/>
            <w:shd w:fill="FFFFFF"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69,376</w:t>
            </w:r>
          </w:p>
        </w:tc>
        <w:tc>
          <w:tcPr>
            <w:tcW w:w="2260" w:type="dxa"/>
            <w:tcBorders/>
            <w:shd w:fill="FFFFFF"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22"/>
              </w:rPr>
            </w:pPr>
            <w:r>
              <w:rPr>
                <w:rFonts w:ascii="Outfit;sans-serif" w:hAnsi="Outfit;sans-serif"/>
                <w:color w:val="000000"/>
                <w:sz w:val="22"/>
              </w:rPr>
              <w:t>2,362,350</w:t>
            </w:r>
          </w:p>
        </w:tc>
      </w:tr>
      <w:tr>
        <w:trPr/>
        <w:tc>
          <w:tcPr>
            <w:tcW w:w="155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Samuel Zales</w:t>
            </w:r>
          </w:p>
        </w:tc>
        <w:tc>
          <w:tcPr>
            <w:tcW w:w="2351"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9,857</w:t>
            </w:r>
          </w:p>
        </w:tc>
        <w:tc>
          <w:tcPr>
            <w:tcW w:w="1423"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9,956</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46"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2325"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112,924</w:t>
            </w:r>
          </w:p>
        </w:tc>
        <w:tc>
          <w:tcPr>
            <w:tcW w:w="2260"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22"/>
              </w:rPr>
            </w:pPr>
            <w:r>
              <w:rPr>
                <w:rFonts w:ascii="Outfit;sans-serif" w:hAnsi="Outfit;sans-serif"/>
                <w:color w:val="000000"/>
                <w:sz w:val="22"/>
              </w:rPr>
              <w:t>3,875,544</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amounts reported in this column represent the gross number of shares of our Class A common stock acquired upon the exercise of vested stock options without taking into account any shares that may have been withheld or sold to cover the option exercise price or applicable tax withholding obligations.</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amounts reported in this column represent the aggregate dollar amount realized upon the exercise of vested stock options, calculated by multiplying (i) the number of shares of our Class A common stock acquired upon exercise by (ii) the difference between the market price of our Class A common stock at exercise and the exercise price of the options. For simultaneous exercise-and-sell transactions, the market price at exercise was based on the execution price of the sale transaction.</w:t>
      </w:r>
    </w:p>
    <w:p>
      <w:pPr>
        <w:pStyle w:val="TextBody"/>
        <w:bidi w:val="0"/>
        <w:spacing w:before="120" w:after="283"/>
        <w:jc w:val="both"/>
        <w:rPr>
          <w:rFonts w:ascii="Outfit" w:hAnsi="Outfit"/>
          <w:color w:val="000000"/>
          <w:sz w:val="20"/>
        </w:rPr>
      </w:pPr>
      <w:r>
        <w:rPr>
          <w:rFonts w:ascii="Outfit" w:hAnsi="Outfit"/>
          <w:color w:val="000000"/>
          <w:sz w:val="20"/>
        </w:rPr>
        <w:t>(3)</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amounts reported in this column represent the gross number of shares of our Class A common stock acquired upon the vesting of RSU awards without taking into account any shares that may have been withheld to satisfy applicable tax withholding obligations. Upon vesting of these awards, the Company withheld a portion of distributable shares in respect of taxes. The number of shares received after taking into account any shares withheld are as follows: 100,773 for Mr. Trevisan, 4,044 for Ms. Palazzo, 57,256 for Mr. Steinert, 39,988 for Mr. Quinn, and 63,444 for Mr. Zales.</w:t>
      </w:r>
    </w:p>
    <w:p>
      <w:pPr>
        <w:pStyle w:val="TextBody"/>
        <w:bidi w:val="0"/>
        <w:jc w:val="center"/>
        <w:rPr>
          <w:rFonts w:ascii="Outfit;sans-serif" w:hAnsi="Outfit;sans-serif"/>
          <w:color w:val="000000"/>
          <w:sz w:val="22"/>
        </w:rPr>
      </w:pPr>
      <w:r>
        <w:rPr>
          <w:rFonts w:ascii="Outfit;sans-serif" w:hAnsi="Outfit;sans-serif"/>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 w:hAnsi="Outfit"/>
          <w:color w:val="000000"/>
          <w:sz w:val="20"/>
        </w:rPr>
      </w:pPr>
      <w:r>
        <w:rPr>
          <w:rFonts w:ascii="Outfit" w:hAnsi="Outfit"/>
          <w:color w:val="000000"/>
          <w:sz w:val="20"/>
        </w:rPr>
        <w:t>(4)</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amounts reported in this column represent the taxable income recognized upon the vesting of RSU awards calculated by multiplying the gross number of RSUs vested by the closing market price of our Class A common stock on the vesting date or, if the vesting occurred on a day on which Nasdaq was closed for trading, the prior trading day.</w:t>
      </w:r>
    </w:p>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Potential Payments upon Termination of Employment or Change in Control</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The following table sets forth the potential (estimated) payments and benefits to which our named executive officers, other than Ms. Palazzo, would have been entitled, as specified under their respective employment offer letter or equity award agreement, as applicable, assuming an employment termination date of December 31, 2025, on which the market price for our Class A common stock was $38.35 per share (the closing price on December 31, 2025). Ms. Palazzo stepped down as our Chief Financial Officer and Treasurer on March 7, 2025, as discussed below.</w:t>
      </w:r>
    </w:p>
    <w:tbl>
      <w:tblPr>
        <w:tblW w:w="10205" w:type="dxa"/>
        <w:jc w:val="left"/>
        <w:tblInd w:w="0" w:type="dxa"/>
        <w:tblLayout w:type="fixed"/>
        <w:tblCellMar>
          <w:top w:w="28" w:type="dxa"/>
          <w:left w:w="28" w:type="dxa"/>
          <w:bottom w:w="28" w:type="dxa"/>
          <w:right w:w="28" w:type="dxa"/>
        </w:tblCellMar>
      </w:tblPr>
      <w:tblGrid>
        <w:gridCol w:w="2534"/>
        <w:gridCol w:w="1404"/>
        <w:gridCol w:w="1427"/>
        <w:gridCol w:w="1137"/>
        <w:gridCol w:w="3703"/>
      </w:tblGrid>
      <w:tr>
        <w:trPr/>
        <w:tc>
          <w:tcPr>
            <w:tcW w:w="2534" w:type="dxa"/>
            <w:tcBorders/>
            <w:shd w:fill="FFFFFF" w:val="clear"/>
            <w:vAlign w:val="center"/>
          </w:tcPr>
          <w:p>
            <w:pPr>
              <w:pStyle w:val="TableContents"/>
              <w:bidi w:val="0"/>
              <w:spacing w:before="0" w:after="283"/>
              <w:jc w:val="left"/>
              <w:rPr>
                <w:sz w:val="4"/>
                <w:szCs w:val="4"/>
              </w:rPr>
            </w:pPr>
            <w:r>
              <w:rPr>
                <w:sz w:val="4"/>
                <w:szCs w:val="4"/>
              </w:rPr>
            </w:r>
          </w:p>
        </w:tc>
        <w:tc>
          <w:tcPr>
            <w:tcW w:w="1404" w:type="dxa"/>
            <w:tcBorders/>
            <w:shd w:fill="FFFFFF" w:val="clear"/>
            <w:vAlign w:val="center"/>
          </w:tcPr>
          <w:p>
            <w:pPr>
              <w:pStyle w:val="TableContents"/>
              <w:bidi w:val="0"/>
              <w:spacing w:before="0" w:after="283"/>
              <w:jc w:val="left"/>
              <w:rPr>
                <w:sz w:val="4"/>
                <w:szCs w:val="4"/>
              </w:rPr>
            </w:pPr>
            <w:r>
              <w:rPr>
                <w:sz w:val="4"/>
                <w:szCs w:val="4"/>
              </w:rPr>
            </w:r>
          </w:p>
        </w:tc>
        <w:tc>
          <w:tcPr>
            <w:tcW w:w="1427" w:type="dxa"/>
            <w:tcBorders/>
            <w:shd w:fill="FFFFFF" w:val="clear"/>
            <w:vAlign w:val="center"/>
          </w:tcPr>
          <w:p>
            <w:pPr>
              <w:pStyle w:val="TableContents"/>
              <w:bidi w:val="0"/>
              <w:spacing w:before="0" w:after="283"/>
              <w:jc w:val="left"/>
              <w:rPr>
                <w:sz w:val="4"/>
                <w:szCs w:val="4"/>
              </w:rPr>
            </w:pPr>
            <w:r>
              <w:rPr>
                <w:sz w:val="4"/>
                <w:szCs w:val="4"/>
              </w:rPr>
            </w:r>
          </w:p>
        </w:tc>
        <w:tc>
          <w:tcPr>
            <w:tcW w:w="1137" w:type="dxa"/>
            <w:tcBorders/>
            <w:shd w:fill="FFFFFF" w:val="clear"/>
            <w:vAlign w:val="center"/>
          </w:tcPr>
          <w:p>
            <w:pPr>
              <w:pStyle w:val="TableContents"/>
              <w:bidi w:val="0"/>
              <w:spacing w:before="0" w:after="283"/>
              <w:jc w:val="left"/>
              <w:rPr>
                <w:sz w:val="4"/>
                <w:szCs w:val="4"/>
              </w:rPr>
            </w:pPr>
            <w:r>
              <w:rPr>
                <w:sz w:val="4"/>
                <w:szCs w:val="4"/>
              </w:rPr>
            </w:r>
          </w:p>
        </w:tc>
        <w:tc>
          <w:tcPr>
            <w:tcW w:w="3703" w:type="dxa"/>
            <w:tcBorders/>
            <w:shd w:fill="FFFFFF" w:val="clear"/>
            <w:vAlign w:val="center"/>
          </w:tcPr>
          <w:p>
            <w:pPr>
              <w:pStyle w:val="TableContents"/>
              <w:bidi w:val="0"/>
              <w:spacing w:before="0" w:after="283"/>
              <w:jc w:val="left"/>
              <w:rPr>
                <w:sz w:val="4"/>
                <w:szCs w:val="4"/>
              </w:rPr>
            </w:pPr>
            <w:r>
              <w:rPr>
                <w:sz w:val="4"/>
                <w:szCs w:val="4"/>
              </w:rPr>
            </w:r>
          </w:p>
        </w:tc>
      </w:tr>
      <w:tr>
        <w:trPr/>
        <w:tc>
          <w:tcPr>
            <w:tcW w:w="2534"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18"/>
              </w:rPr>
            </w:pPr>
            <w:r>
              <w:rPr>
                <w:rFonts w:ascii="Outfit;sans-serif" w:hAnsi="Outfit;sans-serif"/>
                <w:b/>
                <w:color w:val="3465B0"/>
                <w:sz w:val="18"/>
              </w:rPr>
              <w:t>Name and Benefit</w:t>
            </w:r>
          </w:p>
        </w:tc>
        <w:tc>
          <w:tcPr>
            <w:tcW w:w="1404"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Termination</w:t>
              <w:br/>
              <w:t>without Cause</w:t>
              <w:br/>
              <w:t>($)</w:t>
            </w:r>
          </w:p>
        </w:tc>
        <w:tc>
          <w:tcPr>
            <w:tcW w:w="1427"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Resignation</w:t>
              <w:br/>
              <w:t>for Good Reason</w:t>
            </w:r>
          </w:p>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w:t>
            </w:r>
          </w:p>
        </w:tc>
        <w:tc>
          <w:tcPr>
            <w:tcW w:w="1137" w:type="dxa"/>
            <w:tcBorders>
              <w:bottom w:val="single" w:sz="12" w:space="0" w:color="3565B0"/>
            </w:tcBorders>
            <w:tcMar>
              <w:top w:w="0" w:type="dxa"/>
              <w:left w:w="0" w:type="dxa"/>
              <w:right w:w="0" w:type="dxa"/>
            </w:tcMar>
            <w:vAlign w:val="center"/>
          </w:tcPr>
          <w:p>
            <w:pPr>
              <w:pStyle w:val="TableContents"/>
              <w:bidi w:val="0"/>
              <w:jc w:val="center"/>
              <w:rPr>
                <w:rFonts w:ascii="Outfit;sans-serif" w:hAnsi="Outfit;sans-serif"/>
                <w:b/>
                <w:color w:val="3465B0"/>
                <w:sz w:val="18"/>
              </w:rPr>
            </w:pPr>
            <w:r>
              <w:rPr>
                <w:rFonts w:ascii="Outfit;sans-serif" w:hAnsi="Outfit;sans-serif"/>
                <w:b/>
                <w:color w:val="3465B0"/>
                <w:sz w:val="18"/>
              </w:rPr>
              <w:t>Change of Control</w:t>
            </w:r>
          </w:p>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w:t>
            </w:r>
          </w:p>
        </w:tc>
        <w:tc>
          <w:tcPr>
            <w:tcW w:w="3703"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18"/>
              </w:rPr>
            </w:pPr>
            <w:r>
              <w:rPr>
                <w:rFonts w:ascii="Outfit;sans-serif" w:hAnsi="Outfit;sans-serif"/>
                <w:b/>
                <w:color w:val="3465B0"/>
                <w:sz w:val="18"/>
              </w:rPr>
              <w:t>Termination without Cause or for Good Reason in connection with Change of Control ($)</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Jason Trevisan</w:t>
            </w:r>
          </w:p>
        </w:tc>
        <w:tc>
          <w:tcPr>
            <w:tcW w:w="1404" w:type="dxa"/>
            <w:tcBorders/>
            <w:shd w:fill="D9E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D9E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shd w:fill="D9E1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Base Salary</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Bonus</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18"/>
              </w:rPr>
            </w:pPr>
            <w:r>
              <w:rPr>
                <w:rFonts w:ascii="Outfit;sans-serif" w:hAnsi="Outfit;sans-serif"/>
                <w:color w:val="000000"/>
                <w:sz w:val="18"/>
              </w:rPr>
              <w:t>Equity Awards (Accelerated Vesting)</w:t>
            </w:r>
            <w:r>
              <w:rPr>
                <w:rFonts w:ascii="Outfit;sans-serif" w:hAnsi="Outfit;sans-serif"/>
                <w:color w:val="000000"/>
                <w:sz w:val="12"/>
              </w:rPr>
              <w:t>(1)</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720"/>
              <w:jc w:val="right"/>
              <w:rPr>
                <w:rFonts w:ascii="Outfit;sans-serif" w:hAnsi="Outfit;sans-serif"/>
                <w:color w:val="000000"/>
                <w:sz w:val="18"/>
              </w:rPr>
            </w:pPr>
            <w:r>
              <w:rPr>
                <w:rFonts w:ascii="Outfit;sans-serif" w:hAnsi="Outfit;sans-serif"/>
                <w:color w:val="000000"/>
                <w:sz w:val="18"/>
              </w:rPr>
              <w:t>11,782,117</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Health &amp; Benefits</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18"/>
              </w:rPr>
            </w:pPr>
            <w:r>
              <w:rPr>
                <w:rFonts w:ascii="Outfit;sans-serif" w:hAnsi="Outfit;sans-serif"/>
                <w:color w:val="000000"/>
                <w:sz w:val="18"/>
              </w:rPr>
              <w:t>Other</w:t>
            </w:r>
            <w:r>
              <w:rPr>
                <w:rFonts w:ascii="Outfit;sans-serif" w:hAnsi="Outfit;sans-serif"/>
                <w:color w:val="000000"/>
                <w:sz w:val="12"/>
              </w:rPr>
              <w:t>(2)</w:t>
            </w:r>
          </w:p>
        </w:tc>
        <w:tc>
          <w:tcPr>
            <w:tcW w:w="1404" w:type="dxa"/>
            <w:tcBorders/>
            <w:shd w:fill="D9E1EB" w:val="clear"/>
            <w:tcMar>
              <w:top w:w="0" w:type="dxa"/>
              <w:left w:w="0" w:type="dxa"/>
              <w:bottom w:w="0" w:type="dxa"/>
              <w:right w:w="0" w:type="dxa"/>
            </w:tcMar>
            <w:vAlign w:val="center"/>
          </w:tcPr>
          <w:p>
            <w:pPr>
              <w:pStyle w:val="TableContents"/>
              <w:pBdr>
                <w:bottom w:val="single" w:sz="4" w:space="1" w:color="000000"/>
              </w:pBdr>
              <w:bidi w:val="0"/>
              <w:spacing w:before="0" w:after="20"/>
              <w:jc w:val="right"/>
              <w:rPr>
                <w:rFonts w:ascii="Outfit;sans-serif" w:hAnsi="Outfit;sans-serif"/>
                <w:color w:val="000000"/>
                <w:sz w:val="18"/>
              </w:rPr>
            </w:pPr>
            <w:r>
              <w:rPr>
                <w:rFonts w:ascii="Outfit;sans-serif" w:hAnsi="Outfit;sans-serif"/>
                <w:color w:val="000000"/>
                <w:sz w:val="18"/>
              </w:rPr>
              <w:t>100,000</w:t>
            </w:r>
          </w:p>
        </w:tc>
        <w:tc>
          <w:tcPr>
            <w:tcW w:w="1427" w:type="dxa"/>
            <w:tcBorders/>
            <w:shd w:fill="D9E1EB" w:val="clear"/>
            <w:tcMar>
              <w:top w:w="0" w:type="dxa"/>
              <w:left w:w="0" w:type="dxa"/>
              <w:bottom w:w="0" w:type="dxa"/>
              <w:right w:w="0" w:type="dxa"/>
            </w:tcMar>
            <w:vAlign w:val="center"/>
          </w:tcPr>
          <w:p>
            <w:pPr>
              <w:pStyle w:val="TableContents"/>
              <w:pBdr>
                <w:bottom w:val="single" w:sz="4" w:space="1" w:color="000000"/>
              </w:pBdr>
              <w:bidi w:val="0"/>
              <w:spacing w:before="0" w:after="20"/>
              <w:jc w:val="right"/>
              <w:rPr>
                <w:rFonts w:ascii="Outfit;sans-serif" w:hAnsi="Outfit;sans-serif"/>
                <w:color w:val="000000"/>
                <w:sz w:val="18"/>
              </w:rPr>
            </w:pPr>
            <w:r>
              <w:rPr>
                <w:rFonts w:ascii="Outfit;sans-serif" w:hAnsi="Outfit;sans-serif"/>
                <w:color w:val="000000"/>
                <w:sz w:val="18"/>
              </w:rPr>
              <w:t>100,000</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pBdr>
                <w:bottom w:val="single" w:sz="4" w:space="1" w:color="000000"/>
              </w:pBdr>
              <w:bidi w:val="0"/>
              <w:spacing w:before="0" w:after="20"/>
              <w:ind w:left="0" w:right="0" w:firstLine="490"/>
              <w:jc w:val="right"/>
              <w:rPr>
                <w:rFonts w:ascii="Outfit;sans-serif" w:hAnsi="Outfit;sans-serif"/>
                <w:color w:val="000000"/>
                <w:sz w:val="18"/>
              </w:rPr>
            </w:pPr>
            <w:r>
              <w:rPr>
                <w:rFonts w:ascii="Outfit;sans-serif" w:hAnsi="Outfit;sans-serif"/>
                <w:color w:val="000000"/>
                <w:sz w:val="18"/>
              </w:rPr>
              <w:t>100,000</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490"/>
              <w:jc w:val="left"/>
              <w:rPr>
                <w:rFonts w:ascii="Outfit;sans-serif" w:hAnsi="Outfit;sans-serif"/>
                <w:color w:val="000000"/>
                <w:sz w:val="18"/>
              </w:rPr>
            </w:pPr>
            <w:r>
              <w:rPr>
                <w:rFonts w:ascii="Outfit;sans-serif" w:hAnsi="Outfit;sans-serif"/>
                <w:color w:val="000000"/>
                <w:sz w:val="18"/>
              </w:rPr>
              <w:t>Total Estimated Value</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100,000</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100,000</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18"/>
              </w:rPr>
            </w:pPr>
            <w:r>
              <w:rPr>
                <w:rFonts w:ascii="Outfit;sans-serif" w:hAnsi="Outfit;sans-serif"/>
                <w:color w:val="000000"/>
                <w:sz w:val="18"/>
              </w:rPr>
              <w:t>11,882,117</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Langley Steinert</w:t>
            </w:r>
          </w:p>
        </w:tc>
        <w:tc>
          <w:tcPr>
            <w:tcW w:w="1404" w:type="dxa"/>
            <w:tcBorders/>
            <w:tcMar>
              <w:top w:w="0" w:type="dxa"/>
              <w:left w:w="0" w:type="dxa"/>
              <w:bottom w:w="0" w:type="dxa"/>
              <w:right w:w="0" w:type="dxa"/>
            </w:tcMar>
            <w:vAlign w:val="center"/>
          </w:tcPr>
          <w:p>
            <w:pPr>
              <w:pStyle w:val="TableContents"/>
              <w:bidi w:val="0"/>
              <w:spacing w:before="0" w:after="20"/>
              <w:jc w:val="right"/>
              <w:rPr/>
            </w:pPr>
            <w:r>
              <w:rPr/>
              <w:t> </w:t>
            </w:r>
          </w:p>
        </w:tc>
        <w:tc>
          <w:tcPr>
            <w:tcW w:w="1427" w:type="dxa"/>
            <w:tcBorders/>
            <w:tcMar>
              <w:top w:w="0" w:type="dxa"/>
              <w:left w:w="0" w:type="dxa"/>
              <w:bottom w:w="0" w:type="dxa"/>
              <w:right w:w="0" w:type="dxa"/>
            </w:tcMar>
            <w:vAlign w:val="center"/>
          </w:tcPr>
          <w:p>
            <w:pPr>
              <w:pStyle w:val="TableContents"/>
              <w:bidi w:val="0"/>
              <w:spacing w:before="0" w:after="20"/>
              <w:jc w:val="right"/>
              <w:rPr/>
            </w:pPr>
            <w:r>
              <w:rPr/>
              <w:t> </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pPr>
            <w:r>
              <w:rPr/>
              <w:t> </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Base Salary</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Bonus</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18"/>
              </w:rPr>
            </w:pPr>
            <w:r>
              <w:rPr>
                <w:rFonts w:ascii="Outfit;sans-serif" w:hAnsi="Outfit;sans-serif"/>
                <w:color w:val="000000"/>
                <w:sz w:val="18"/>
              </w:rPr>
              <w:t>Equity Awards (Accelerated Vesting)</w:t>
            </w:r>
            <w:r>
              <w:rPr>
                <w:rFonts w:ascii="Outfit;sans-serif" w:hAnsi="Outfit;sans-serif"/>
                <w:color w:val="000000"/>
                <w:sz w:val="12"/>
              </w:rPr>
              <w:t>(1)</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rFonts w:ascii="Outfit;sans-serif" w:hAnsi="Outfit;sans-serif"/>
                <w:color w:val="000000"/>
                <w:sz w:val="18"/>
              </w:rPr>
            </w:pPr>
            <w:r>
              <w:rPr>
                <w:rFonts w:ascii="Outfit;sans-serif" w:hAnsi="Outfit;sans-serif"/>
                <w:color w:val="000000"/>
                <w:sz w:val="18"/>
              </w:rPr>
              <w:t>6,612,882</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Health &amp; Benefits</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Other</w:t>
            </w:r>
          </w:p>
        </w:tc>
        <w:tc>
          <w:tcPr>
            <w:tcW w:w="1404" w:type="dxa"/>
            <w:tcBorders/>
            <w:tcMar>
              <w:top w:w="0" w:type="dxa"/>
              <w:left w:w="0" w:type="dxa"/>
              <w:bottom w:w="0" w:type="dxa"/>
              <w:right w:w="0" w:type="dxa"/>
            </w:tcMar>
            <w:vAlign w:val="center"/>
          </w:tcPr>
          <w:p>
            <w:pPr>
              <w:pStyle w:val="TableContents"/>
              <w:pBdr>
                <w:bottom w:val="single" w:sz="4" w:space="1" w:color="000000"/>
              </w:pBdr>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pBdr>
                <w:bottom w:val="single" w:sz="4" w:space="1" w:color="000000"/>
              </w:pBdr>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pBdr>
                <w:bottom w:val="single" w:sz="4" w:space="1" w:color="000000"/>
              </w:pBdr>
              <w:bidi w:val="0"/>
              <w:spacing w:before="0" w:after="20"/>
              <w:ind w:left="0" w:right="0" w:firstLine="49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490"/>
              <w:jc w:val="left"/>
              <w:rPr>
                <w:rFonts w:ascii="Outfit;sans-serif" w:hAnsi="Outfit;sans-serif"/>
                <w:color w:val="000000"/>
                <w:sz w:val="18"/>
              </w:rPr>
            </w:pPr>
            <w:r>
              <w:rPr>
                <w:rFonts w:ascii="Outfit;sans-serif" w:hAnsi="Outfit;sans-serif"/>
                <w:color w:val="000000"/>
                <w:sz w:val="18"/>
              </w:rPr>
              <w:t>Total Estimated Value</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240"/>
              <w:jc w:val="right"/>
              <w:rPr>
                <w:rFonts w:ascii="Outfit;sans-serif" w:hAnsi="Outfit;sans-serif"/>
                <w:color w:val="000000"/>
                <w:sz w:val="18"/>
              </w:rPr>
            </w:pPr>
            <w:r>
              <w:rPr>
                <w:rFonts w:ascii="Outfit;sans-serif" w:hAnsi="Outfit;sans-serif"/>
                <w:color w:val="000000"/>
                <w:sz w:val="18"/>
              </w:rPr>
              <w:t>6,612,882</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18"/>
              </w:rPr>
            </w:pPr>
            <w:r>
              <w:rPr>
                <w:rFonts w:ascii="Outfit;sans-serif" w:hAnsi="Outfit;sans-serif"/>
                <w:color w:val="000000"/>
                <w:sz w:val="18"/>
              </w:rPr>
              <w:t>Matthew Quinn</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pPr>
            <w:r>
              <w:rPr/>
              <w:t> </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490"/>
              <w:jc w:val="right"/>
              <w:rPr/>
            </w:pPr>
            <w:r>
              <w:rPr/>
              <w:t> </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18"/>
              </w:rPr>
            </w:pPr>
            <w:r>
              <w:rPr>
                <w:rFonts w:ascii="Outfit;sans-serif" w:hAnsi="Outfit;sans-serif"/>
                <w:color w:val="000000"/>
                <w:sz w:val="18"/>
              </w:rPr>
              <w:t>Base Salary</w:t>
            </w:r>
            <w:r>
              <w:rPr>
                <w:rFonts w:ascii="Outfit;sans-serif" w:hAnsi="Outfit;sans-serif"/>
                <w:color w:val="000000"/>
                <w:sz w:val="12"/>
              </w:rPr>
              <w:t>(3)</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315,000</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315,000</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490"/>
              <w:jc w:val="right"/>
              <w:rPr>
                <w:rFonts w:ascii="Outfit;sans-serif" w:hAnsi="Outfit;sans-serif"/>
                <w:color w:val="000000"/>
                <w:sz w:val="18"/>
              </w:rPr>
            </w:pPr>
            <w:r>
              <w:rPr>
                <w:rFonts w:ascii="Outfit;sans-serif" w:hAnsi="Outfit;sans-serif"/>
                <w:color w:val="000000"/>
                <w:sz w:val="18"/>
              </w:rPr>
              <w:t>315,000</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490"/>
              <w:jc w:val="left"/>
              <w:rPr>
                <w:rFonts w:ascii="Outfit;sans-serif" w:hAnsi="Outfit;sans-serif"/>
                <w:color w:val="000000"/>
                <w:sz w:val="18"/>
              </w:rPr>
            </w:pPr>
            <w:r>
              <w:rPr>
                <w:rFonts w:ascii="Outfit;sans-serif" w:hAnsi="Outfit;sans-serif"/>
                <w:color w:val="000000"/>
                <w:sz w:val="18"/>
              </w:rPr>
              <w:t>Bonus</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490"/>
              <w:jc w:val="right"/>
              <w:rPr>
                <w:color w:val="000000"/>
              </w:rPr>
            </w:pPr>
            <w:r>
              <w:rPr>
                <w:color w:val="000000"/>
              </w:rPr>
              <w:t>—</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18"/>
              </w:rPr>
            </w:pPr>
            <w:r>
              <w:rPr>
                <w:rFonts w:ascii="Outfit;sans-serif" w:hAnsi="Outfit;sans-serif"/>
                <w:color w:val="000000"/>
                <w:sz w:val="18"/>
              </w:rPr>
              <w:t>Equity Awards (Accelerated Vesting)</w:t>
            </w:r>
            <w:r>
              <w:rPr>
                <w:rFonts w:ascii="Outfit;sans-serif" w:hAnsi="Outfit;sans-serif"/>
                <w:color w:val="000000"/>
                <w:sz w:val="12"/>
              </w:rPr>
              <w:t>(1)</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490"/>
              <w:jc w:val="right"/>
              <w:rPr>
                <w:rFonts w:ascii="Outfit;sans-serif" w:hAnsi="Outfit;sans-serif"/>
                <w:color w:val="000000"/>
                <w:sz w:val="18"/>
              </w:rPr>
            </w:pPr>
            <w:r>
              <w:rPr>
                <w:rFonts w:ascii="Outfit;sans-serif" w:hAnsi="Outfit;sans-serif"/>
                <w:color w:val="000000"/>
                <w:sz w:val="18"/>
              </w:rPr>
              <w:t>4,573,788</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18"/>
              </w:rPr>
            </w:pPr>
            <w:r>
              <w:rPr>
                <w:rFonts w:ascii="Outfit;sans-serif" w:hAnsi="Outfit;sans-serif"/>
                <w:color w:val="000000"/>
                <w:sz w:val="18"/>
              </w:rPr>
              <w:t>Health &amp; Benefits</w:t>
            </w:r>
            <w:r>
              <w:rPr>
                <w:rFonts w:ascii="Outfit;sans-serif" w:hAnsi="Outfit;sans-serif"/>
                <w:color w:val="000000"/>
                <w:sz w:val="12"/>
              </w:rPr>
              <w:t>(3)</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18,912</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18,912</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ind w:left="0" w:right="0" w:firstLine="720"/>
              <w:jc w:val="right"/>
              <w:rPr>
                <w:rFonts w:ascii="Outfit;sans-serif" w:hAnsi="Outfit;sans-serif"/>
                <w:color w:val="000000"/>
                <w:sz w:val="18"/>
              </w:rPr>
            </w:pPr>
            <w:r>
              <w:rPr>
                <w:rFonts w:ascii="Outfit;sans-serif" w:hAnsi="Outfit;sans-serif"/>
                <w:color w:val="000000"/>
                <w:sz w:val="18"/>
              </w:rPr>
              <w:t>18,912</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Other</w:t>
            </w:r>
          </w:p>
        </w:tc>
        <w:tc>
          <w:tcPr>
            <w:tcW w:w="1404" w:type="dxa"/>
            <w:tcBorders/>
            <w:shd w:fill="D9E1EB" w:val="clear"/>
            <w:tcMar>
              <w:top w:w="0" w:type="dxa"/>
              <w:left w:w="0" w:type="dxa"/>
              <w:bottom w:w="0" w:type="dxa"/>
              <w:right w:w="0" w:type="dxa"/>
            </w:tcMar>
            <w:vAlign w:val="center"/>
          </w:tcPr>
          <w:p>
            <w:pPr>
              <w:pStyle w:val="TableContents"/>
              <w:pBdr>
                <w:bottom w:val="single" w:sz="4" w:space="1" w:color="000000"/>
              </w:pBdr>
              <w:bidi w:val="0"/>
              <w:spacing w:before="0" w:after="20"/>
              <w:jc w:val="right"/>
              <w:rPr>
                <w:color w:val="000000"/>
              </w:rPr>
            </w:pPr>
            <w:r>
              <w:rPr>
                <w:color w:val="000000"/>
              </w:rPr>
              <w:t>—</w:t>
            </w:r>
          </w:p>
        </w:tc>
        <w:tc>
          <w:tcPr>
            <w:tcW w:w="1427" w:type="dxa"/>
            <w:tcBorders/>
            <w:shd w:fill="D9E1EB" w:val="clear"/>
            <w:tcMar>
              <w:top w:w="0" w:type="dxa"/>
              <w:left w:w="0" w:type="dxa"/>
              <w:bottom w:w="0" w:type="dxa"/>
              <w:right w:w="0" w:type="dxa"/>
            </w:tcMar>
            <w:vAlign w:val="center"/>
          </w:tcPr>
          <w:p>
            <w:pPr>
              <w:pStyle w:val="TableContents"/>
              <w:pBdr>
                <w:bottom w:val="single" w:sz="4" w:space="1" w:color="000000"/>
              </w:pBdr>
              <w:bidi w:val="0"/>
              <w:spacing w:before="0" w:after="20"/>
              <w:jc w:val="right"/>
              <w:rPr>
                <w:color w:val="000000"/>
              </w:rPr>
            </w:pPr>
            <w:r>
              <w:rPr>
                <w:color w:val="000000"/>
              </w:rPr>
              <w:t>—</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pBdr>
                <w:bottom w:val="single" w:sz="4" w:space="1" w:color="000000"/>
              </w:pBdr>
              <w:bidi w:val="0"/>
              <w:spacing w:before="0" w:after="20"/>
              <w:ind w:left="0" w:right="0" w:firstLine="490"/>
              <w:jc w:val="right"/>
              <w:rPr>
                <w:color w:val="000000"/>
              </w:rPr>
            </w:pPr>
            <w:r>
              <w:rPr>
                <w:color w:val="000000"/>
              </w:rPr>
              <w:t>—</w:t>
            </w:r>
          </w:p>
        </w:tc>
      </w:tr>
      <w:tr>
        <w:trPr/>
        <w:tc>
          <w:tcPr>
            <w:tcW w:w="2534" w:type="dxa"/>
            <w:tcBorders/>
            <w:shd w:fill="D9E1EB" w:val="clear"/>
            <w:tcMar>
              <w:top w:w="0" w:type="dxa"/>
              <w:left w:w="0" w:type="dxa"/>
              <w:bottom w:w="0" w:type="dxa"/>
              <w:right w:w="0" w:type="dxa"/>
            </w:tcMar>
            <w:vAlign w:val="center"/>
          </w:tcPr>
          <w:p>
            <w:pPr>
              <w:pStyle w:val="TableContents"/>
              <w:bidi w:val="0"/>
              <w:spacing w:before="0" w:after="283"/>
              <w:ind w:left="0" w:right="0" w:firstLine="490"/>
              <w:jc w:val="left"/>
              <w:rPr>
                <w:rFonts w:ascii="Outfit;sans-serif" w:hAnsi="Outfit;sans-serif"/>
                <w:color w:val="000000"/>
                <w:sz w:val="18"/>
              </w:rPr>
            </w:pPr>
            <w:r>
              <w:rPr>
                <w:rFonts w:ascii="Outfit;sans-serif" w:hAnsi="Outfit;sans-serif"/>
                <w:color w:val="000000"/>
                <w:sz w:val="18"/>
              </w:rPr>
              <w:t>Total Estimated Value</w:t>
            </w:r>
          </w:p>
        </w:tc>
        <w:tc>
          <w:tcPr>
            <w:tcW w:w="1404"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333,912</w:t>
            </w:r>
          </w:p>
        </w:tc>
        <w:tc>
          <w:tcPr>
            <w:tcW w:w="1427"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333,912</w:t>
            </w:r>
          </w:p>
        </w:tc>
        <w:tc>
          <w:tcPr>
            <w:tcW w:w="1137" w:type="dxa"/>
            <w:tcBorders/>
            <w:shd w:fill="D9E1EB" w:val="clear"/>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shd w:fill="D9E1EB" w:val="clear"/>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4,907,700</w:t>
            </w:r>
          </w:p>
        </w:tc>
      </w:tr>
      <w:tr>
        <w:trPr/>
        <w:tc>
          <w:tcPr>
            <w:tcW w:w="253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Samuel Zales</w:t>
            </w:r>
          </w:p>
        </w:tc>
        <w:tc>
          <w:tcPr>
            <w:tcW w:w="1404" w:type="dxa"/>
            <w:tcBorders/>
            <w:tcMar>
              <w:top w:w="0" w:type="dxa"/>
              <w:left w:w="0" w:type="dxa"/>
              <w:bottom w:w="0" w:type="dxa"/>
              <w:right w:w="0" w:type="dxa"/>
            </w:tcMar>
            <w:vAlign w:val="center"/>
          </w:tcPr>
          <w:p>
            <w:pPr>
              <w:pStyle w:val="TableContents"/>
              <w:bidi w:val="0"/>
              <w:spacing w:before="0" w:after="20"/>
              <w:jc w:val="right"/>
              <w:rPr/>
            </w:pPr>
            <w:r>
              <w:rPr/>
              <w:t> </w:t>
            </w:r>
          </w:p>
        </w:tc>
        <w:tc>
          <w:tcPr>
            <w:tcW w:w="1427" w:type="dxa"/>
            <w:tcBorders/>
            <w:tcMar>
              <w:top w:w="0" w:type="dxa"/>
              <w:left w:w="0" w:type="dxa"/>
              <w:bottom w:w="0" w:type="dxa"/>
              <w:right w:w="0" w:type="dxa"/>
            </w:tcMar>
            <w:vAlign w:val="center"/>
          </w:tcPr>
          <w:p>
            <w:pPr>
              <w:pStyle w:val="TableContents"/>
              <w:bidi w:val="0"/>
              <w:spacing w:before="0" w:after="20"/>
              <w:jc w:val="right"/>
              <w:rPr/>
            </w:pPr>
            <w:r>
              <w:rPr/>
              <w:t> </w:t>
            </w:r>
          </w:p>
        </w:tc>
        <w:tc>
          <w:tcPr>
            <w:tcW w:w="1137" w:type="dxa"/>
            <w:tcBorders/>
            <w:tcMar>
              <w:top w:w="0" w:type="dxa"/>
              <w:left w:w="0" w:type="dxa"/>
              <w:bottom w:w="0" w:type="dxa"/>
              <w:right w:w="0" w:type="dxa"/>
            </w:tcMar>
            <w:vAlign w:val="center"/>
          </w:tcPr>
          <w:p>
            <w:pPr>
              <w:pStyle w:val="TableContents"/>
              <w:bidi w:val="0"/>
              <w:spacing w:before="0" w:after="20"/>
              <w:jc w:val="right"/>
              <w:rPr/>
            </w:pPr>
            <w:r>
              <w:rPr/>
              <w:t> </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pPr>
            <w:r>
              <w:rPr/>
              <w:t> </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Base Salary</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Bonus</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18"/>
              </w:rPr>
            </w:pPr>
            <w:r>
              <w:rPr>
                <w:rFonts w:ascii="Outfit;sans-serif" w:hAnsi="Outfit;sans-serif"/>
                <w:color w:val="000000"/>
                <w:sz w:val="18"/>
              </w:rPr>
              <w:t>Equity Awards (Accelerated Vesting)</w:t>
            </w:r>
            <w:r>
              <w:rPr>
                <w:rFonts w:ascii="Outfit;sans-serif" w:hAnsi="Outfit;sans-serif"/>
                <w:color w:val="000000"/>
                <w:sz w:val="12"/>
              </w:rPr>
              <w:t>(1)</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rFonts w:ascii="Outfit;sans-serif" w:hAnsi="Outfit;sans-serif"/>
                <w:color w:val="000000"/>
                <w:sz w:val="18"/>
              </w:rPr>
            </w:pPr>
            <w:r>
              <w:rPr>
                <w:rFonts w:ascii="Outfit;sans-serif" w:hAnsi="Outfit;sans-serif"/>
                <w:color w:val="000000"/>
                <w:sz w:val="18"/>
              </w:rPr>
              <w:t>7,369,566</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Outfit;sans-serif" w:hAnsi="Outfit;sans-serif"/>
                <w:color w:val="000000"/>
                <w:sz w:val="18"/>
              </w:rPr>
            </w:pPr>
            <w:r>
              <w:rPr>
                <w:rFonts w:ascii="Outfit;sans-serif" w:hAnsi="Outfit;sans-serif"/>
                <w:color w:val="000000"/>
                <w:sz w:val="18"/>
              </w:rPr>
              <w:t>Health &amp; Benefits</w:t>
            </w:r>
          </w:p>
        </w:tc>
        <w:tc>
          <w:tcPr>
            <w:tcW w:w="1404"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ind w:left="0" w:right="0" w:firstLine="720"/>
              <w:jc w:val="right"/>
              <w:rPr>
                <w:color w:val="000000"/>
              </w:rPr>
            </w:pPr>
            <w:r>
              <w:rPr>
                <w:color w:val="000000"/>
              </w:rPr>
              <w:t>—</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18"/>
              </w:rPr>
            </w:pPr>
            <w:r>
              <w:rPr>
                <w:rFonts w:ascii="Outfit;sans-serif" w:hAnsi="Outfit;sans-serif"/>
                <w:color w:val="000000"/>
                <w:sz w:val="18"/>
              </w:rPr>
              <w:t>Other</w:t>
            </w:r>
            <w:r>
              <w:rPr>
                <w:rFonts w:ascii="Outfit;sans-serif" w:hAnsi="Outfit;sans-serif"/>
                <w:color w:val="000000"/>
                <w:sz w:val="12"/>
              </w:rPr>
              <w:t>(4)</w:t>
            </w:r>
          </w:p>
        </w:tc>
        <w:tc>
          <w:tcPr>
            <w:tcW w:w="1404" w:type="dxa"/>
            <w:tcBorders/>
            <w:tcMar>
              <w:top w:w="0" w:type="dxa"/>
              <w:left w:w="0" w:type="dxa"/>
              <w:bottom w:w="0" w:type="dxa"/>
              <w:right w:w="0" w:type="dxa"/>
            </w:tcMar>
            <w:vAlign w:val="center"/>
          </w:tcPr>
          <w:p>
            <w:pPr>
              <w:pStyle w:val="TableContents"/>
              <w:pBdr>
                <w:bottom w:val="single" w:sz="4" w:space="1" w:color="000000"/>
              </w:pBdr>
              <w:bidi w:val="0"/>
              <w:spacing w:before="0" w:after="20"/>
              <w:jc w:val="right"/>
              <w:rPr>
                <w:rFonts w:ascii="Outfit;sans-serif" w:hAnsi="Outfit;sans-serif"/>
                <w:color w:val="000000"/>
                <w:sz w:val="18"/>
              </w:rPr>
            </w:pPr>
            <w:r>
              <w:rPr>
                <w:rFonts w:ascii="Outfit;sans-serif" w:hAnsi="Outfit;sans-serif"/>
                <w:color w:val="000000"/>
                <w:sz w:val="18"/>
              </w:rPr>
              <w:t>100,000</w:t>
            </w:r>
          </w:p>
        </w:tc>
        <w:tc>
          <w:tcPr>
            <w:tcW w:w="1427" w:type="dxa"/>
            <w:tcBorders/>
            <w:tcMar>
              <w:top w:w="0" w:type="dxa"/>
              <w:left w:w="0" w:type="dxa"/>
              <w:bottom w:w="0" w:type="dxa"/>
              <w:right w:w="0" w:type="dxa"/>
            </w:tcMar>
            <w:vAlign w:val="center"/>
          </w:tcPr>
          <w:p>
            <w:pPr>
              <w:pStyle w:val="TableContents"/>
              <w:pBdr>
                <w:bottom w:val="single" w:sz="4" w:space="1" w:color="000000"/>
              </w:pBdr>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pBdr>
                <w:bottom w:val="single" w:sz="4" w:space="1" w:color="000000"/>
              </w:pBdr>
              <w:bidi w:val="0"/>
              <w:spacing w:before="0" w:after="20"/>
              <w:ind w:left="0" w:right="0" w:firstLine="490"/>
              <w:jc w:val="right"/>
              <w:rPr>
                <w:rFonts w:ascii="Outfit;sans-serif" w:hAnsi="Outfit;sans-serif"/>
                <w:color w:val="000000"/>
                <w:sz w:val="18"/>
              </w:rPr>
            </w:pPr>
            <w:r>
              <w:rPr>
                <w:rFonts w:ascii="Outfit;sans-serif" w:hAnsi="Outfit;sans-serif"/>
                <w:color w:val="000000"/>
                <w:sz w:val="18"/>
              </w:rPr>
              <w:t>100,000</w:t>
            </w:r>
          </w:p>
        </w:tc>
      </w:tr>
      <w:tr>
        <w:trPr/>
        <w:tc>
          <w:tcPr>
            <w:tcW w:w="2534" w:type="dxa"/>
            <w:tcBorders/>
            <w:tcMar>
              <w:top w:w="0" w:type="dxa"/>
              <w:left w:w="0" w:type="dxa"/>
              <w:bottom w:w="0" w:type="dxa"/>
              <w:right w:w="0" w:type="dxa"/>
            </w:tcMar>
            <w:vAlign w:val="center"/>
          </w:tcPr>
          <w:p>
            <w:pPr>
              <w:pStyle w:val="TableContents"/>
              <w:bidi w:val="0"/>
              <w:spacing w:before="0" w:after="283"/>
              <w:ind w:left="0" w:right="0" w:firstLine="490"/>
              <w:jc w:val="left"/>
              <w:rPr>
                <w:rFonts w:ascii="Outfit;sans-serif" w:hAnsi="Outfit;sans-serif"/>
                <w:color w:val="000000"/>
                <w:sz w:val="18"/>
              </w:rPr>
            </w:pPr>
            <w:r>
              <w:rPr>
                <w:rFonts w:ascii="Outfit;sans-serif" w:hAnsi="Outfit;sans-serif"/>
                <w:color w:val="000000"/>
                <w:sz w:val="18"/>
              </w:rPr>
              <w:t>Total Estimated Value</w:t>
            </w:r>
          </w:p>
        </w:tc>
        <w:tc>
          <w:tcPr>
            <w:tcW w:w="1404"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100,000</w:t>
            </w:r>
          </w:p>
        </w:tc>
        <w:tc>
          <w:tcPr>
            <w:tcW w:w="142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1137"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w:t>
            </w:r>
          </w:p>
        </w:tc>
        <w:tc>
          <w:tcPr>
            <w:tcW w:w="3703" w:type="dxa"/>
            <w:tcBorders/>
            <w:tcMar>
              <w:top w:w="0" w:type="dxa"/>
              <w:left w:w="0" w:type="dxa"/>
              <w:bottom w:w="0" w:type="dxa"/>
              <w:right w:w="0" w:type="dxa"/>
            </w:tcMar>
            <w:vAlign w:val="center"/>
          </w:tcPr>
          <w:p>
            <w:pPr>
              <w:pStyle w:val="TableContents"/>
              <w:bidi w:val="0"/>
              <w:spacing w:before="0" w:after="20"/>
              <w:jc w:val="right"/>
              <w:rPr>
                <w:rFonts w:ascii="Outfit;sans-serif" w:hAnsi="Outfit;sans-serif"/>
                <w:color w:val="000000"/>
                <w:sz w:val="18"/>
              </w:rPr>
            </w:pPr>
            <w:r>
              <w:rPr>
                <w:rFonts w:ascii="Outfit;sans-serif" w:hAnsi="Outfit;sans-serif"/>
                <w:color w:val="000000"/>
                <w:sz w:val="18"/>
              </w:rPr>
              <w:t>7,469,566</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 xml:space="preserve">Our forms of time-based RSU award agreement and NQSO award agreement provide for acceleration of unvested RSUs or NQSOs, as applicable, under such award in the event that such named executive officer is terminated by us without Cause or by such named executive officer for Good Reason (each as defined in the Company’s standard time-based RSU award agreement and NQSO award agreement, as applicable, for executive officers, the forms of which have been previously filed with the SEC) within 12 months following a Change of Control (as defined in the 2017 </w:t>
      </w:r>
    </w:p>
    <w:p>
      <w:pPr>
        <w:pStyle w:val="TextBody"/>
        <w:bidi w:val="0"/>
        <w:jc w:val="center"/>
        <w:rPr>
          <w:rFonts w:ascii="Outfit;sans-serif" w:hAnsi="Outfit;sans-serif"/>
          <w:color w:val="000000"/>
          <w:sz w:val="22"/>
        </w:rPr>
      </w:pPr>
      <w:r>
        <w:rPr>
          <w:rFonts w:ascii="Outfit;sans-serif" w:hAnsi="Outfit;sans-serif"/>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Plan).</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For all purposes above, a Change of Control under the 2017 Plan generally occurs if: (i) a person, entity, or affiliated group, with certain exceptions, acquires more than 50% of our then outstanding voting securities; (ii) we merge into another entity unless the holders of our voting shares immediately prior to the merger have at least 50% of the combined voting power of the securities in the merged entity or its parent; (iii) we merge into another entity and the members of the Board prior to the merger would not constitute a majority of the board of directors of the merged entity or its parent; (iv) we sell or dispose of all or substantially all of our assets; (v) our stockholders approve a plan of complete liquidation or dissolution; or (vi) a majority of the members of the Board is replaced during any 12-month period by directors whose appointment or election is not endorsed by a majority of the incumbent directors.</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pPr>
      <w:r>
        <w:rPr>
          <w:rFonts w:ascii="Outfit;sans-serif" w:hAnsi="Outfit;sans-serif"/>
          <w:color w:val="000000"/>
          <w:sz w:val="20"/>
        </w:rPr>
        <w:t xml:space="preserve">Pursuant to an employment offer letter between the Company and Mr. Trevisan dated August 10, 2015, if we terminate Mr. Trevisan’s employment without cause, or Mr. Trevisan terminates his employment for good reason, subject to him signing and not revoking a release of any and all claims against the Company, he will be entitled to a lump-sum cash severance payment in the amount of $100,000. Please see </w:t>
      </w:r>
      <w:r>
        <w:rPr>
          <w:color w:val="000000"/>
        </w:rPr>
        <w:t>“</w:t>
      </w:r>
      <w:r>
        <w:rPr>
          <w:rFonts w:ascii="Outfit;sans-serif" w:hAnsi="Outfit;sans-serif"/>
          <w:i/>
          <w:color w:val="000000"/>
          <w:sz w:val="20"/>
        </w:rPr>
        <w:t xml:space="preserve">Executive Employment Arrangements” </w:t>
      </w:r>
      <w:r>
        <w:rPr>
          <w:rFonts w:ascii="Outfit;sans-serif" w:hAnsi="Outfit;sans-serif"/>
          <w:color w:val="000000"/>
          <w:sz w:val="20"/>
        </w:rPr>
        <w:t>for more information.</w:t>
      </w:r>
    </w:p>
    <w:p>
      <w:pPr>
        <w:pStyle w:val="TextBody"/>
        <w:bidi w:val="0"/>
        <w:spacing w:before="120" w:after="283"/>
        <w:jc w:val="both"/>
        <w:rPr>
          <w:rFonts w:ascii="Outfit" w:hAnsi="Outfit"/>
          <w:color w:val="000000"/>
          <w:sz w:val="20"/>
        </w:rPr>
      </w:pPr>
      <w:r>
        <w:rPr>
          <w:rFonts w:ascii="Outfit" w:hAnsi="Outfit"/>
          <w:color w:val="000000"/>
          <w:sz w:val="20"/>
        </w:rPr>
        <w:t>(3)</w:t>
      </w:r>
    </w:p>
    <w:p>
      <w:pPr>
        <w:pStyle w:val="TextBody"/>
        <w:bidi w:val="0"/>
        <w:spacing w:before="120" w:after="283"/>
        <w:jc w:val="both"/>
        <w:rPr/>
      </w:pPr>
      <w:r>
        <w:rPr>
          <w:rFonts w:ascii="Outfit;sans-serif" w:hAnsi="Outfit;sans-serif"/>
          <w:color w:val="000000"/>
          <w:sz w:val="20"/>
        </w:rPr>
        <w:t xml:space="preserve">Pursuant to an employment offer letter between the Company and Mr. Quinn dated December 21, 2022, if we terminate Mr. Quinn’s employment without cause, or Mr. Quinn terminates his employment for good reason, subject to his signing and not revoking a release of any and all claims against the Company and a reaffirmation of all his post-employment obligations under his nondisclosure agreement, and in the Company’s sole discretion, a one-year post-employment noncompetition agreement, he will be entitled to (i) a severance payment of an amount equal to nine months of his base salary, which will be paid in substantially equal installments in accordance with the Company’s payroll practices over six months commencing within 60 days following his termination of employment and (ii) reimbursement on a monthly basis for the COBRA premiums that Mr. Quinn would pay for continued health care coverage under our group health plans for himself and his dependents until the earlier of nine months, until he becomes eligible under another employer’s group coverage, or until he ceases to be eligible for COBRA coverage for any reason. Please see </w:t>
      </w:r>
      <w:r>
        <w:rPr>
          <w:color w:val="000000"/>
        </w:rPr>
        <w:t>“</w:t>
      </w:r>
      <w:r>
        <w:rPr>
          <w:rFonts w:ascii="Outfit;sans-serif" w:hAnsi="Outfit;sans-serif"/>
          <w:i/>
          <w:color w:val="000000"/>
          <w:sz w:val="20"/>
        </w:rPr>
        <w:t xml:space="preserve">Executive Employment Arrangements” </w:t>
      </w:r>
      <w:r>
        <w:rPr>
          <w:rFonts w:ascii="Outfit;sans-serif" w:hAnsi="Outfit;sans-serif"/>
          <w:color w:val="000000"/>
          <w:sz w:val="20"/>
        </w:rPr>
        <w:t>for more information.</w:t>
      </w:r>
    </w:p>
    <w:p>
      <w:pPr>
        <w:pStyle w:val="TextBody"/>
        <w:bidi w:val="0"/>
        <w:spacing w:before="120" w:after="283"/>
        <w:jc w:val="both"/>
        <w:rPr>
          <w:rFonts w:ascii="Outfit" w:hAnsi="Outfit"/>
          <w:color w:val="000000"/>
          <w:sz w:val="20"/>
        </w:rPr>
      </w:pPr>
      <w:r>
        <w:rPr>
          <w:rFonts w:ascii="Outfit" w:hAnsi="Outfit"/>
          <w:color w:val="000000"/>
          <w:sz w:val="20"/>
        </w:rPr>
        <w:t>(4)</w:t>
      </w:r>
    </w:p>
    <w:p>
      <w:pPr>
        <w:pStyle w:val="TextBody"/>
        <w:bidi w:val="0"/>
        <w:spacing w:before="120" w:after="283"/>
        <w:jc w:val="both"/>
        <w:rPr/>
      </w:pPr>
      <w:r>
        <w:rPr>
          <w:rFonts w:ascii="Outfit;sans-serif" w:hAnsi="Outfit;sans-serif"/>
          <w:color w:val="000000"/>
          <w:sz w:val="20"/>
        </w:rPr>
        <w:t xml:space="preserve">Pursuant to an employment offer letter between the Company and Mr. Zales dated October 24, 2014, if we terminate Mr. Zales’ employment without cause, subject to him signing and not revoking a release of any and all claims against the Company, he will be entitled to a lump-sum cash severance payment in the amount of $100,000. Please see </w:t>
      </w:r>
      <w:r>
        <w:rPr>
          <w:color w:val="000000"/>
        </w:rPr>
        <w:t>“</w:t>
      </w:r>
      <w:r>
        <w:rPr>
          <w:rFonts w:ascii="Outfit;sans-serif" w:hAnsi="Outfit;sans-serif"/>
          <w:i/>
          <w:color w:val="000000"/>
          <w:sz w:val="20"/>
        </w:rPr>
        <w:t>Executive Employment Arrangements”</w:t>
      </w:r>
      <w:r>
        <w:rPr>
          <w:color w:val="000000"/>
        </w:rPr>
        <w:t xml:space="preserve"> </w:t>
      </w:r>
      <w:r>
        <w:rPr>
          <w:rFonts w:ascii="Outfit;sans-serif" w:hAnsi="Outfit;sans-serif"/>
          <w:color w:val="000000"/>
          <w:sz w:val="20"/>
        </w:rPr>
        <w:t>for more information.</w:t>
      </w:r>
    </w:p>
    <w:p>
      <w:pPr>
        <w:pStyle w:val="TextBody"/>
        <w:bidi w:val="0"/>
        <w:spacing w:before="120" w:after="120"/>
        <w:jc w:val="both"/>
        <w:rPr>
          <w:rFonts w:ascii="Outfit;sans-serif" w:hAnsi="Outfit;sans-serif"/>
          <w:b/>
          <w:i/>
          <w:color w:val="00002D"/>
          <w:sz w:val="22"/>
        </w:rPr>
      </w:pPr>
      <w:bookmarkStart w:id="23" w:name="executive_employment_arrangements"/>
      <w:bookmarkEnd w:id="23"/>
      <w:r>
        <w:rPr>
          <w:rFonts w:ascii="Outfit;sans-serif" w:hAnsi="Outfit;sans-serif"/>
          <w:b/>
          <w:i/>
          <w:color w:val="00002D"/>
          <w:sz w:val="22"/>
        </w:rPr>
        <w:t>Arrangement with Ms. Palazzo</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Ms. Palazzo stepped down as our Chief Financial Officer and Treasurer on March 7, 2025. In connection with her departure, Ms. Palazzo received accrued compensation through the date of termination and, because she executed and did not revoke a general release of claims, a severance payment of $292,500 (nine months of her base salary, which was paid in a lump sum). Ms. Palazzo waived her right to receive reimbursement on a monthly basis for the COBRA premiums that she would have paid for continued health care coverage under our group health plans for herself and her dependents until the earlier of (i) December 31, 2025, (ii) she became eligible under another employer’s group coverage, or (iii) she ceased to be eligible for COBRA coverage for any reason.</w:t>
      </w:r>
    </w:p>
    <w:p>
      <w:pPr>
        <w:pStyle w:val="TextBody"/>
        <w:bidi w:val="0"/>
        <w:spacing w:before="0" w:after="120"/>
        <w:jc w:val="both"/>
        <w:rPr>
          <w:rFonts w:ascii="Outfit;sans-serif" w:hAnsi="Outfit;sans-serif"/>
          <w:b/>
          <w:color w:val="00002D"/>
          <w:sz w:val="32"/>
        </w:rPr>
      </w:pPr>
      <w:r>
        <w:rPr>
          <w:rFonts w:ascii="Outfit;sans-serif" w:hAnsi="Outfit;sans-serif"/>
          <w:b/>
          <w:color w:val="00002D"/>
          <w:sz w:val="32"/>
        </w:rPr>
        <w:t>Executive Employment Arrangements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have entered into employment offer letters with each of our named executive officers. These agreements provide for “at-will” employment and generally include the named executive officer’s initial annual base salary, an indication of eligibility for an annual performance-based bonus opportunity, an equity award recommendation, and, as applicable, eligibility for certain severance and change of control payments and benefits. These employment arrangements are described below.</w:t>
      </w:r>
    </w:p>
    <w:p>
      <w:pPr>
        <w:pStyle w:val="TextBody"/>
        <w:bidi w:val="0"/>
        <w:jc w:val="center"/>
        <w:rPr>
          <w:rFonts w:ascii="Outfit;sans-serif" w:hAnsi="Outfit;sans-serif"/>
          <w:color w:val="000000"/>
          <w:sz w:val="22"/>
        </w:rPr>
      </w:pPr>
      <w:r>
        <w:rPr>
          <w:rFonts w:ascii="Outfit;sans-serif" w:hAnsi="Outfit;sans-serif"/>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Jason Trevisan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with Mr. Trevisan, dated August 10, 2015, provides for an initial annual base salary, which may be adjusted on an annual basis, consistent with salary review procedures for other Company employees.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Mr. Trevisan is entitled to participate in all employee benefit programs made available to other Company employees, including health insurance, paid time off, and reimbursement for business expenses in accordance with our expense reimbursement policy.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we terminate Mr. Trevisan's employment for cause, or if Mr. Trevisan terminates his employment for any reason, we will pay Mr. Trevisan his accrued compensation and benefits through the date of termination.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we terminate Mr. Trevisan’s employment without cause, or Mr. Trevisan terminates his employment for good reason, he will receive accrued compensation through the date of termination and, provided he executes and does not revoke a release of claims, he will be entitled to a severance payment of $100,000, which will be paid in a lump sum within 60 days following his termination of employment.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Pursuant to the terms of the employment offer letter: (1) cause is generally defined as a finding by the Board that Mr. Trevisan has: (i) materially breached the offer letter, which breach has not been remedied within 30 days following written notice to him; (ii) engaged in disloyalty to the Company, including fraud, embezzlement, theft, commission of a felony, or proven dishonesty; (iii) disclosed trade secrets or confidential information of the Company to persons not entitled to receive such information; (iv) breached the nondisclosure, developments, and non-competition agreement that he entered into in connection with the commencement of his employment; or (v) engaged in such other behavior detrimental to the interests of the Company as the Board reasonably determines; and (2) good reason is generally defined as the occurrence of any of the following events, without Mr. Trevisan’s consent: (i) a material diminution in his title, responsibilities, authority, or duties; (ii) a material diminution of his base salary or target annual discretionary bonus, except for across-the-board reductions based on the Company’s financial performance similarly affecting all or substantially all senior management employees; (iii) a material change in the principal geographic location at which he provides services to the Company (with the exception of travel related to his duties); or (iv) the Company’s material breach of the offer letter; provided that Mr. Trevisan notifies us within 30 days of the occurrence of the condition constituting good reason, he cooperates with us to cure the condition for a period of not less than 30 days following the notice, and, if we fail to cure the condition following our cure period, he terminates his employment within 30 days following the end of the cure period.</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requires that Mr. Trevisan comply with our nondisclosure, developments, and non-competition agreement, which provides that at all times during Mr. Trevisan’s employment and thereafter, he will maintain the confidentiality of all confidential information obtained by him as a result of his employment and assign to the Company all inventions relating to his employment with the Company. In addition, during the term of Mr. Trevisan’s employment, and for the one-year period (subject to certain extensions in the event of a breach) after Mr. Trevisan’s termination of employment, Mr. Trevisan cannot (i) compete against the Company, (ii) interfere or do business with any customers or affiliates of the Company, or (iii) solicit in any way the employees of the Company or any others who provide services to the Company.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Elisa Palazzo</w:t>
      </w:r>
    </w:p>
    <w:p>
      <w:pPr>
        <w:pStyle w:val="TextBody"/>
        <w:bidi w:val="0"/>
        <w:spacing w:before="0" w:after="120"/>
        <w:jc w:val="both"/>
        <w:rPr>
          <w:rFonts w:ascii="Times New Roman" w:hAnsi="Times New Roman"/>
          <w:sz w:val="20"/>
        </w:rPr>
      </w:pPr>
      <w:r>
        <w:rPr>
          <w:rFonts w:ascii="Outfit;sans-serif" w:hAnsi="Outfit;sans-serif"/>
          <w:color w:val="000000"/>
          <w:sz w:val="22"/>
        </w:rPr>
        <w:t>As discussed in “</w:t>
      </w:r>
      <w:r>
        <w:rPr>
          <w:rFonts w:ascii="Outfit;sans-serif" w:hAnsi="Outfit;sans-serif"/>
          <w:i/>
          <w:color w:val="000000"/>
          <w:sz w:val="22"/>
        </w:rPr>
        <w:t xml:space="preserve">Potential Payments upon Termination of Employment or Change in Control </w:t>
      </w:r>
      <w:r>
        <w:rPr>
          <w:rFonts w:ascii="Times New Roman" w:hAnsi="Times New Roman"/>
          <w:color w:val="000000"/>
          <w:sz w:val="20"/>
        </w:rPr>
        <w:t xml:space="preserve">– </w:t>
      </w:r>
      <w:r>
        <w:rPr>
          <w:rFonts w:ascii="Outfit;sans-serif" w:hAnsi="Outfit;sans-serif"/>
          <w:i/>
          <w:color w:val="00002D"/>
          <w:sz w:val="22"/>
        </w:rPr>
        <w:t>Arrangement with Ms. Palazzo</w:t>
      </w:r>
      <w:r>
        <w:rPr>
          <w:rFonts w:ascii="Times New Roman" w:hAnsi="Times New Roman"/>
          <w:color w:val="000000"/>
          <w:sz w:val="20"/>
        </w:rPr>
        <w:t xml:space="preserve">” </w:t>
      </w:r>
      <w:r>
        <w:rPr>
          <w:rFonts w:ascii="Outfit;sans-serif" w:hAnsi="Outfit;sans-serif"/>
          <w:color w:val="000000"/>
          <w:sz w:val="22"/>
        </w:rPr>
        <w:t>above, pursuant to the employment offer letter with Ms. Palazzo, dated October 16, 2023, Ms. Palazzo received accrued compensation through the date of termination and, because she executed and did not revoke a general release of claims, a severance payment of $292,500 (nine months of her base salary, which was paid in a lump sum). Ms. Palazzo waived her right to receive reimbursement on a monthly basis for the</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COBRA premiums that Ms. Palazzo would have paid for continued health care coverage under our group health plans for herself and her dependents until the earlier of (i) December 31, 2025, (ii) she became eligible under another employer’s group coverage, or (iii) she ceased to be eligible for COBRA coverage for any reason.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requires that Ms. Palazzo comply with our nondisclosure agreement, which provides that at all times during Ms. Palazzo’s employment and thereafter, she will maintain the confidentiality of all confidential information obtained by her as a result of her employment and assign to the Company all inventions relating to her employment with the Company. In addition, for the one-year period (subject to certain extensions in the event of a breach) after Ms. Palazzo’s termination of employment, Ms. Palazzo cannot (i) compete against the Company, (ii) interfere or do business with any customers or affiliates of the Company, or (iii) solicit in any way the employees of the Company or any others who provide services to the Company.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Langley Steinert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with Mr. Steinert, effective March 17, 2006, memorializes the terms of Mr. Steinert’s employment with the Company. The terms provide that Mr. Steinert is entitled to an annual base salary, which may be adjusted on an annual basis, and participation in our employee benefit programs. In connection with his commencement of employment, Mr. Steinert entered into a non-disclosure, development, and non-competition agreement, which provides that at all times during his employment and thereafter, Mr. Steinert will maintain the confidentiality of all confidential information obtained by him as a result of his employment and assign to the Company all inventions relating to his employment with the Company. In addition, during the term of Mr. Steinert’s employment, and for the one-year period (subject to certain extensions in the event of a breach) after Mr. Steinert’s termination of employment, Mr. Steinert cannot (i) compete against the Company, (ii) interfere or do business with any customers or affiliates of the Company, or (iii) solicit in any way the employees of the Company or any others who provide services to the Company.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Matthew Quinn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with Mr. Quinn, dated December 1, 2021, provides for an initial annual base salary, which may be adjusted on an annual basis, consistent with salary review procedures for other Company employees. In connection with the commencement of his employment, Mr. Quinn received a $30,000 sign-on bonus, 50% of which he received within 60 days of his start date, 25% of which he received within 60 days of the start of the six-month anniversary of such start date, and the remainder he received within 60 days of the one-year anniversary of such start date. This sign-on bonus would have been subject to repayment if Mr. Quinn’s employment terminated within 12 months following Mr. Quinn’s start date. Mr. Quinn is eligible to receive a discretionary annual bonus.</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In connection with the commencement of his employment, Mr. Quinn was granted (i) time-based RSUs with an award value of $1,000,000 under the 2017 Plan, which was settled for shares of Class A common stock that vested over four years, of which 25% of the shares subject to this RSU award vested on January 3, 2023, and 6.25% of the shares subject to this RSU award vested on the first day of each three-month period thereafter until January 1, 2026; and (ii) a NQSO to purchase shares of Class A common stock with an award value of $500,000 under the 2017 Plan that vested over four years, of which 25% of the shares underlying the NQSO vested on January 3, 2023, and 6.25% of the shares underlying the NQSO vested on the first day of each three-month period thereafter until January 1, 2026. Mr. Quinn was also granted 14,284 RSUs subject to performance-based vesting conditions with an award value of $500,000 under the 2017 Plan. In February 2022 the Compensation Committee amended the vesting provisions of the performance-based RSU awards from performance-based to time-based. Please see the </w:t>
      </w:r>
      <w:r>
        <w:rPr>
          <w:rFonts w:ascii="Times New Roman" w:hAnsi="Times New Roman"/>
          <w:color w:val="000000"/>
          <w:sz w:val="20"/>
        </w:rPr>
        <w:t>“</w:t>
      </w:r>
      <w:r>
        <w:rPr>
          <w:rFonts w:ascii="Outfit;sans-serif" w:hAnsi="Outfit;sans-serif"/>
          <w:i/>
          <w:color w:val="000000"/>
          <w:sz w:val="22"/>
        </w:rPr>
        <w:t>Modification of 2021 and 2022 Performance-Based Equity Grants”</w:t>
      </w:r>
      <w:r>
        <w:rPr>
          <w:rFonts w:ascii="Times New Roman" w:hAnsi="Times New Roman"/>
          <w:color w:val="000000"/>
          <w:sz w:val="20"/>
        </w:rPr>
        <w:t xml:space="preserve"> </w:t>
      </w:r>
      <w:r>
        <w:rPr>
          <w:rFonts w:ascii="Outfit;sans-serif" w:hAnsi="Outfit;sans-serif"/>
          <w:color w:val="000000"/>
          <w:sz w:val="22"/>
        </w:rPr>
        <w:t>section of our 2023 Proxy Statement for more information.</w:t>
      </w:r>
    </w:p>
    <w:p>
      <w:pPr>
        <w:pStyle w:val="TextBody"/>
        <w:bidi w:val="0"/>
        <w:jc w:val="center"/>
        <w:rPr>
          <w:rFonts w:ascii="Outfit;sans-serif" w:hAnsi="Outfit;sans-serif"/>
          <w:color w:val="000000"/>
          <w:sz w:val="22"/>
        </w:rPr>
      </w:pPr>
      <w:r>
        <w:rPr>
          <w:rFonts w:ascii="Outfit;sans-serif" w:hAnsi="Outfit;sans-serif"/>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Mr. Quinn is entitled to participate in all employee benefit programs made available to other Company employees, including health insurance, paid time off, and reimbursement for business expenses in accordance with our expense reimbursement policy.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we terminate Mr. Quinn’s employment without cause, or Mr. Quinn terminates his employment for good reason, he will receive accrued compensation through the date of termination and, provided he executes and does not revoke a release of claims, he will be entitled to (i) a severance payment of an amount equal to nine months of his base salary, which will be paid in substantially equal installments in accordance with the Company’s payroll practices over six months commencing within 60 days following his termination of employment and (ii) reimbursement on a monthly basis for the COBRA premiums that Mr. Quinn pays for continued health care coverage under our group health plans for himself and his dependents until the earlier of nine months, until he becomes eligible under another employer’s group coverage, or until he ceases to be eligible for COBRA coverage for any reason.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Pursuant to the terms of the employment offer letter: (1) cause is generally defined as a finding by the Board that (i) there is a reasonable basis for the Company’s dissatisfaction with Mr. Quinn entertained in good faith, for reasons such as lack of capacity or diligence, failure to conform to usual standards of conduct, or other culpable or inappropriate behavior; (ii) there are grounds for discharge of Mr. Quinn reasonably related, in the Company’s judgment, to the needs of its business; (iii) there is a breach of any covenant or obligation set forth in the offer letter or any other agreement between Mr. Quinn and the Company during Mr. Quinn’s employment; or (iv) there is a layoff other than one that is unrelated to Mr. Quinn’s performance or conduct; and (2) good reason is generally defined as the occurrence of any of the following events, without Mr. Quinn’s consent: (i) a material diminution in his title, responsibilities, authority, or duties; (ii) a material diminution of his base salary or target annual discretionary bonus, except for across-the-board reductions based on the Company’s financial performance similarly affecting all or substantially all senior management employees; (iii) a material change in the principal geographic location at which he provides services to the Company (with the exception of travel related to his duties); or (iv) the Company’s material breach of Mr. Quinn’s offer letter; provided that Mr. Quinn notifies us within 30 days of the occurrence of the condition constituting good reason, he cooperates with us to cure the condition for a period of not less than 30 days following the notice, and, if we fail to cure the condition following our cure period, he terminates his employment within 30 days following the end of the cure period.</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requires that Mr. Quinn comply with our nondisclosure agreement, which provides that at all times during Mr. Quinn’s employment and thereafter, he will maintain the confidentiality of all confidential information obtained by him as a result of his employment and assign to the Company all inventions relating to his employment with the Company. In addition, during the term of Mr. Quinn’s employment, and for the one-year period (subject to certain extensions in the event of a breach) after Mr. Quinn’s termination of employment, Mr. Quinn cannot (i) compete against the Company, (ii) interfere or do business with any customers or affiliates of the Company, or (iii) solicit in any way the employees of the Company or any others who provide services to the Company.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Samuel Zales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with Mr. Zales, dated October 24, 2014, provides for an initial annual base salary, which may be adjusted on an annual basis, consistent with salary review procedures for other Company employees. Upon execution of the employment offer letter, Mr. Zales received a $50,000 sign-on bonus, which would have been subject to repayment upon a voluntary termination within 12 months following Mr. Zales’s employment start date. Mr. Zales is also eligible to receive a discretionary annual bonus.</w:t>
      </w:r>
    </w:p>
    <w:p>
      <w:pPr>
        <w:pStyle w:val="TextBody"/>
        <w:bidi w:val="0"/>
        <w:spacing w:before="0" w:after="120"/>
        <w:jc w:val="both"/>
        <w:rPr>
          <w:rFonts w:ascii="Times New Roman" w:hAnsi="Times New Roman"/>
          <w:sz w:val="20"/>
        </w:rPr>
      </w:pPr>
      <w:r>
        <w:rPr>
          <w:rFonts w:ascii="Outfit;sans-serif" w:hAnsi="Outfit;sans-serif"/>
          <w:color w:val="000000"/>
          <w:sz w:val="22"/>
        </w:rPr>
        <w:t>In connection with the commencement of his employment, Mr. Zales was granted an option to purchase 265,066 shares of Class A common stock and 530,132 shares of Class B common stock (the Zales Option), pursuant to the terms of the Company’s 2006 Equity Incentive Plan. The shares of common stock underlying the Zales Option</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were subject to service-based vesting over four years and have fully vested and were fully exercised as of December 31, 2024.</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Mr. Zales is entitled to participate in all employee benefit programs made available to other Company employees, including health insurance, paid time off, and reimbursement for business expenses in accordance with our expense reimbursement policy.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we terminate Mr. Zales’ employment without cause, he will receive accrued compensation through the date of termination and, provided he executes and does not revoke a release of claims, he is entitled to a severance payment of $100,000, which will be paid in a lump sum on Mr. Zales’s last day of employment with us.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employment offer letter requires that Mr. Zales comply with our nondisclosure, developments, and non-competition agreement, which provides that at all times during Mr. Zales’ employment and thereafter, Mr. Zales will maintain the confidentiality of all confidential information obtained by him as a result of his employment and assign to the Company all inventions relating to his employment with the Company. In addition, during the term of Mr. Zales’s employment, and for the one-year period (subject to certain extensions in the event of a breach) after Mr. Zales’s termination of employment, Mr. Zales cannot (i) compete against the Company, (ii) interfere or do business with any customers or affiliates of the Company, or (iii) solicit in any way the employees of the Company or any others who provide services to the Company.</w:t>
      </w:r>
    </w:p>
    <w:p>
      <w:pPr>
        <w:pStyle w:val="TextBody"/>
        <w:bidi w:val="0"/>
        <w:spacing w:before="0" w:after="120"/>
        <w:jc w:val="both"/>
        <w:rPr>
          <w:rFonts w:ascii="Outfit;sans-serif" w:hAnsi="Outfit;sans-serif"/>
          <w:b/>
          <w:color w:val="00002D"/>
          <w:sz w:val="32"/>
        </w:rPr>
      </w:pPr>
      <w:bookmarkStart w:id="24" w:name="ceo_pay_ratio_disclosure"/>
      <w:bookmarkEnd w:id="24"/>
      <w:r>
        <w:rPr>
          <w:rFonts w:ascii="Outfit;sans-serif" w:hAnsi="Outfit;sans-serif"/>
          <w:b/>
          <w:color w:val="00002D"/>
          <w:sz w:val="32"/>
        </w:rPr>
        <w:t>CEO Pay Ratio Disclosure</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As required by SEC rules, we disclose below the annual total compensation of Mr. Trevisan, our Chief Executive Officer, the 2025 annual total compensation of our median employee, and the ratio of these amounts. We calculated the annual total compensation for both Mr. Trevisan and our median employee using the same methodology that is used for the </w:t>
      </w:r>
      <w:r>
        <w:rPr>
          <w:rFonts w:ascii="Times New Roman" w:hAnsi="Times New Roman"/>
          <w:color w:val="000000"/>
          <w:sz w:val="20"/>
        </w:rPr>
        <w:t>“</w:t>
      </w:r>
      <w:r>
        <w:rPr>
          <w:rFonts w:ascii="Outfit;sans-serif" w:hAnsi="Outfit;sans-serif"/>
          <w:i/>
          <w:color w:val="000000"/>
          <w:sz w:val="22"/>
        </w:rPr>
        <w:t>Summary Compensation Table”</w:t>
      </w:r>
      <w:r>
        <w:rPr>
          <w:rFonts w:ascii="Outfit;sans-serif" w:hAnsi="Outfit;sans-serif"/>
          <w:color w:val="000000"/>
          <w:sz w:val="22"/>
        </w:rPr>
        <w:t>.</w:t>
      </w:r>
      <w:r>
        <w:rPr>
          <w:rFonts w:ascii="Times New Roman" w:hAnsi="Times New Roman"/>
          <w:color w:val="000000"/>
          <w:sz w:val="20"/>
        </w:rPr>
        <w:t xml:space="preserve">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Methodology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To identify our median employee, we used the following methodology:</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00"/>
          <w:sz w:val="22"/>
        </w:rPr>
        <w:t>Total Employee Population:</w:t>
      </w:r>
      <w:r>
        <w:rPr>
          <w:color w:val="3565B0"/>
        </w:rPr>
        <w:t xml:space="preserve"> </w:t>
      </w:r>
      <w:r>
        <w:rPr>
          <w:rFonts w:ascii="Outfit;sans-serif" w:hAnsi="Outfit;sans-serif"/>
          <w:color w:val="000000"/>
          <w:sz w:val="22"/>
        </w:rPr>
        <w:t>Determined to include all of our full-time and part-time employees as of December 31, 2025; we did not exclude any non-U.S. employees.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00"/>
          <w:sz w:val="22"/>
        </w:rPr>
        <w:t>2025 Median Employee:</w:t>
      </w:r>
      <w:r>
        <w:rPr>
          <w:color w:val="3565B0"/>
        </w:rPr>
        <w:t xml:space="preserve"> </w:t>
      </w:r>
      <w:r>
        <w:rPr>
          <w:rFonts w:ascii="Outfit;sans-serif" w:hAnsi="Outfit;sans-serif"/>
          <w:color w:val="000000"/>
          <w:sz w:val="22"/>
        </w:rPr>
        <w:t>Identified using a consistently applied compensation measure, salary compensation as reflected in payroll records, for all of our 1,218 active employees as of December 31, 2025, excluding Mr. Trevisan.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Compensation data for our employees outside the U.S. was converted to U.S. dollars using the currency exchange rates used for organizational planning purposes, which consider factors including historic and forecasted rates.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did not make any cost-of-living adjustments.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00"/>
          <w:sz w:val="22"/>
        </w:rPr>
        <w:t>Representative Employee:</w:t>
      </w:r>
      <w:r>
        <w:rPr>
          <w:color w:val="3565B0"/>
        </w:rPr>
        <w:t xml:space="preserve"> </w:t>
      </w:r>
      <w:r>
        <w:rPr>
          <w:rFonts w:ascii="Outfit;sans-serif" w:hAnsi="Outfit;sans-serif"/>
          <w:color w:val="000000"/>
          <w:sz w:val="22"/>
        </w:rPr>
        <w:t>Identified employees within $1,000 of the calculated median salary compensation for 2025 and selected the employee from that group most representative of our consolidated employee population.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00"/>
          <w:sz w:val="22"/>
        </w:rPr>
        <w:t>Components of Total Compensation for the Median Employee:</w:t>
      </w:r>
      <w:r>
        <w:rPr>
          <w:color w:val="3565B0"/>
        </w:rPr>
        <w:t xml:space="preserve"> </w:t>
      </w:r>
      <w:r>
        <w:rPr>
          <w:rFonts w:ascii="Outfit;sans-serif" w:hAnsi="Outfit;sans-serif"/>
          <w:color w:val="000000"/>
          <w:sz w:val="22"/>
        </w:rPr>
        <w:t>The median employee’s total compensation consists of the individual’s annualized base salary for 2025, actual short-term incentive cash payment, and the Company’s Section 401(k) matching contribution.</w:t>
      </w:r>
    </w:p>
    <w:p>
      <w:pPr>
        <w:pStyle w:val="TextBody"/>
        <w:bidi w:val="0"/>
        <w:jc w:val="center"/>
        <w:rPr>
          <w:rFonts w:ascii="Outfit;sans-serif" w:hAnsi="Outfit;sans-serif"/>
          <w:color w:val="000000"/>
          <w:sz w:val="22"/>
        </w:rPr>
      </w:pPr>
      <w:r>
        <w:rPr>
          <w:rFonts w:ascii="Outfit;sans-serif" w:hAnsi="Outfit;sans-serif"/>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2025 CEO Pay Ratio</w:t>
      </w:r>
    </w:p>
    <w:p>
      <w:pPr>
        <w:pStyle w:val="TextBody"/>
        <w:bidi w:val="0"/>
        <w:spacing w:before="0" w:after="120"/>
        <w:jc w:val="both"/>
        <w:rPr>
          <w:rFonts w:ascii="Times New Roman" w:hAnsi="Times New Roman"/>
          <w:sz w:val="20"/>
        </w:rPr>
      </w:pPr>
      <w:r>
        <w:rPr>
          <w:rFonts w:ascii="Outfit;sans-serif" w:hAnsi="Outfit;sans-serif"/>
          <w:color w:val="000000"/>
          <w:sz w:val="22"/>
        </w:rPr>
        <w:t>The 2025 annual total compensation for Mr. Trevisan was</w:t>
      </w:r>
      <w:r>
        <w:rPr>
          <w:rFonts w:ascii="Times New Roman" w:hAnsi="Times New Roman"/>
          <w:color w:val="000000"/>
          <w:sz w:val="20"/>
        </w:rPr>
        <w:t xml:space="preserve"> </w:t>
      </w:r>
      <w:r>
        <w:rPr>
          <w:rFonts w:ascii="Outfit;sans-serif" w:hAnsi="Outfit;sans-serif"/>
          <w:color w:val="000000"/>
          <w:sz w:val="22"/>
        </w:rPr>
        <w:t>$7,889,260 and for our median employee was $139,553. The resulting ratio of our Chief Executive Officer’s annual total compensation to the annual total compensation of our median employee is approximately 57:1.</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This ratio is a reasonable estimate calculated in a manner consistent with SEC rules. Because SEC rules for identifying the median compensated employee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pStyle w:val="TextBody"/>
        <w:bidi w:val="0"/>
        <w:spacing w:before="0" w:after="120"/>
        <w:jc w:val="both"/>
        <w:rPr>
          <w:rFonts w:ascii="Outfit;sans-serif" w:hAnsi="Outfit;sans-serif"/>
          <w:b/>
          <w:color w:val="00002D"/>
          <w:sz w:val="32"/>
        </w:rPr>
      </w:pPr>
      <w:bookmarkStart w:id="25" w:name="pay_versus_performance"/>
      <w:bookmarkEnd w:id="25"/>
      <w:r>
        <w:rPr>
          <w:rFonts w:ascii="Outfit;sans-serif" w:hAnsi="Outfit;sans-serif"/>
          <w:b/>
          <w:color w:val="00002D"/>
          <w:sz w:val="32"/>
        </w:rPr>
        <w:t>Pay versus Performance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information is presented to disclose the relationship between compensation actually paid (CAP), as calculated under Item 402(v) of Regulation S-K, and the financial performance of the Company. As required by Item 402(v) of Regulation S-K, the table presented below discloses CAP for (i) the Company’s principal executive officer (PEO) and (ii) the Company’s named executive officers other than the PEO (the Non-PEO NEOs), on an average basis, for each of our 2025, 2024, 2023, 2022, and 2021 fiscal years.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methodology for calculating amounts presented in the columns “CAP to Former PEO”, “CAP to Current PEO,” and “Average CAP to Non-PEO NEOs,” including details regarding the amounts that were deducted from, and added to, the Summary Compensation Table (SCT) totals to arrive at the values presented for CAP, are provided in the footnotes to the table. A narrative discussion of the relationship between CAP and the Company performance measures (i) listed in the table and (ii) that the Company has deemed most important in linking CAP during 2025 to Company performance is also presented below.</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Consistent with Item 402(v) of Regulation S-K, the Company has identified Gross Profit as its “Company-Selected Measure.” The Company believes that this measure represents the most important financial performance measure used to link CAP to Company performance. Gross profit is a key component of the Company’s executive compensation program, as described in the </w:t>
      </w:r>
      <w:r>
        <w:rPr>
          <w:rFonts w:ascii="Times New Roman" w:hAnsi="Times New Roman"/>
          <w:color w:val="000000"/>
          <w:sz w:val="20"/>
        </w:rPr>
        <w:t>“</w:t>
      </w:r>
      <w:r>
        <w:rPr>
          <w:rFonts w:ascii="Outfit;sans-serif" w:hAnsi="Outfit;sans-serif"/>
          <w:i/>
          <w:color w:val="000000"/>
          <w:sz w:val="22"/>
        </w:rPr>
        <w:t xml:space="preserve">Compensation Discussion and Analysis” </w:t>
      </w:r>
      <w:r>
        <w:rPr>
          <w:rFonts w:ascii="Outfit;sans-serif" w:hAnsi="Outfit;sans-serif"/>
          <w:color w:val="000000"/>
          <w:sz w:val="22"/>
        </w:rPr>
        <w:t>section of this proxy statement. As described elsewhere in this proxy statement, on August 6, 2025, the Board approved the wind-down of CarOffer, which was completed as of December 31, 2025, and CarOffer’s results in our Annual Report are reported as discontinued operations for the periods presented. In the Pay versus Performance disclosure below, Gross Profit reported for fiscal year 2025 relates to the Company’s continuing operations and does not include the results of discontinued operations, and Gross Profit for each of fiscal year 2024 and 2023 is restated to reported results relating to the Company’s continuing operations and does not include the results of discontinued operations. Please see our Annual Report for additional information.</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Compensation decisions at the Company are made independently of the Pay versus Performance disclosure requirements and this disclosure is intended to be supplemental to the compensation program objectives and strategy discussed in the </w:t>
      </w:r>
      <w:r>
        <w:rPr>
          <w:rFonts w:ascii="Times New Roman" w:hAnsi="Times New Roman"/>
          <w:color w:val="000000"/>
          <w:sz w:val="20"/>
        </w:rPr>
        <w:t>“</w:t>
      </w:r>
      <w:r>
        <w:rPr>
          <w:rFonts w:ascii="Outfit;sans-serif" w:hAnsi="Outfit;sans-serif"/>
          <w:i/>
          <w:color w:val="000000"/>
          <w:sz w:val="22"/>
        </w:rPr>
        <w:t>Compensation Discussion and Analysis”</w:t>
      </w:r>
      <w:r>
        <w:rPr>
          <w:rFonts w:ascii="Times New Roman" w:hAnsi="Times New Roman"/>
          <w:color w:val="000000"/>
          <w:sz w:val="20"/>
        </w:rPr>
        <w:t xml:space="preserve"> </w:t>
      </w:r>
      <w:r>
        <w:rPr>
          <w:rFonts w:ascii="Outfit;sans-serif" w:hAnsi="Outfit;sans-serif"/>
          <w:color w:val="000000"/>
          <w:sz w:val="22"/>
        </w:rPr>
        <w:t>section of this proxy statement, not a replacement for it.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2025 Pay versus Performance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accordance with Item 402(v) of Regulation S-K, the following table sets forth information concerning SCT total compensation and CAP for the Company’s PEO and Non-PEO NEOs for each of our 2025, 2024, 2023, 2022, and 2021 fiscal years and the corresponding financial performance of the Company in each such year.</w:t>
      </w:r>
    </w:p>
    <w:p>
      <w:pPr>
        <w:pStyle w:val="TextBody"/>
        <w:bidi w:val="0"/>
        <w:jc w:val="center"/>
        <w:rPr>
          <w:rFonts w:ascii="Outfit;sans-serif" w:hAnsi="Outfit;sans-serif"/>
          <w:color w:val="000000"/>
          <w:sz w:val="22"/>
        </w:rPr>
      </w:pPr>
      <w:r>
        <w:rPr>
          <w:rFonts w:ascii="Outfit;sans-serif" w:hAnsi="Outfit;sans-serif"/>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tbl>
      <w:tblPr>
        <w:tblW w:w="13451" w:type="dxa"/>
        <w:jc w:val="left"/>
        <w:tblInd w:w="0" w:type="dxa"/>
        <w:tblLayout w:type="fixed"/>
        <w:tblCellMar>
          <w:top w:w="28" w:type="dxa"/>
          <w:left w:w="28" w:type="dxa"/>
          <w:bottom w:w="28" w:type="dxa"/>
          <w:right w:w="28" w:type="dxa"/>
        </w:tblCellMar>
      </w:tblPr>
      <w:tblGrid>
        <w:gridCol w:w="781"/>
        <w:gridCol w:w="1276"/>
        <w:gridCol w:w="1381"/>
        <w:gridCol w:w="1276"/>
        <w:gridCol w:w="1381"/>
        <w:gridCol w:w="1276"/>
        <w:gridCol w:w="1276"/>
        <w:gridCol w:w="1231"/>
        <w:gridCol w:w="1231"/>
        <w:gridCol w:w="1126"/>
        <w:gridCol w:w="1216"/>
      </w:tblGrid>
      <w:tr>
        <w:trPr/>
        <w:tc>
          <w:tcPr>
            <w:tcW w:w="78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2"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 xml:space="preserve">Value of Initial Fixed </w:t>
              <w:br/>
              <w:t>$100 Investment Based on:</w:t>
            </w:r>
          </w:p>
        </w:tc>
        <w:tc>
          <w:tcPr>
            <w:tcW w:w="112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Year</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SCT Total for Former PEO</w:t>
            </w:r>
            <w:r>
              <w:rPr>
                <w:rFonts w:ascii="Outfit;sans-serif" w:hAnsi="Outfit;sans-serif"/>
                <w:b/>
                <w:color w:val="3465B0"/>
                <w:sz w:val="11"/>
              </w:rPr>
              <w:t>(1)</w:t>
            </w:r>
          </w:p>
        </w:tc>
        <w:tc>
          <w:tcPr>
            <w:tcW w:w="138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SCT Total for Current PEO</w:t>
            </w:r>
            <w:r>
              <w:rPr>
                <w:rFonts w:ascii="Outfit;sans-serif" w:hAnsi="Outfit;sans-serif"/>
                <w:b/>
                <w:color w:val="3465B0"/>
                <w:sz w:val="11"/>
              </w:rPr>
              <w:t>(1)</w:t>
            </w:r>
          </w:p>
        </w:tc>
        <w:tc>
          <w:tcPr>
            <w:tcW w:w="1276" w:type="dxa"/>
            <w:tcBorders>
              <w:bottom w:val="single" w:sz="12" w:space="0" w:color="3565B0"/>
            </w:tcBorders>
            <w:tcMar>
              <w:top w:w="0" w:type="dxa"/>
              <w:left w:w="0" w:type="dxa"/>
              <w:right w:w="0" w:type="dxa"/>
            </w:tcMar>
            <w:vAlign w:val="center"/>
          </w:tcPr>
          <w:p>
            <w:pPr>
              <w:pStyle w:val="TableContents"/>
              <w:bidi w:val="0"/>
              <w:jc w:val="center"/>
              <w:rPr>
                <w:rFonts w:ascii="Times New Roman" w:hAnsi="Times New Roman"/>
                <w:sz w:val="16"/>
              </w:rPr>
            </w:pPr>
            <w:r>
              <w:rPr>
                <w:rFonts w:ascii="Outfit;sans-serif" w:hAnsi="Outfit;sans-serif"/>
                <w:b/>
                <w:color w:val="3465B0"/>
                <w:sz w:val="16"/>
              </w:rPr>
              <w:t>CAP</w:t>
            </w:r>
            <w:r>
              <w:rPr>
                <w:rFonts w:ascii="Outfit;sans-serif" w:hAnsi="Outfit;sans-serif"/>
                <w:b/>
                <w:color w:val="3465B0"/>
                <w:sz w:val="11"/>
              </w:rPr>
              <w:t>(2)</w:t>
            </w:r>
            <w:r>
              <w:rPr>
                <w:rFonts w:ascii="Times New Roman" w:hAnsi="Times New Roman"/>
                <w:color w:val="3465B0"/>
                <w:sz w:val="16"/>
              </w:rPr>
              <w:t xml:space="preserve"> </w:t>
            </w:r>
          </w:p>
          <w:p>
            <w:pPr>
              <w:pStyle w:val="TableContents"/>
              <w:bidi w:val="0"/>
              <w:spacing w:before="0" w:after="283"/>
              <w:jc w:val="center"/>
              <w:rPr>
                <w:rFonts w:ascii="Times New Roman" w:hAnsi="Times New Roman"/>
                <w:sz w:val="16"/>
              </w:rPr>
            </w:pPr>
            <w:r>
              <w:rPr>
                <w:rFonts w:ascii="Outfit;sans-serif" w:hAnsi="Outfit;sans-serif"/>
                <w:b/>
                <w:color w:val="3465B0"/>
                <w:sz w:val="16"/>
              </w:rPr>
              <w:t>to Former PEO</w:t>
            </w:r>
            <w:r>
              <w:rPr>
                <w:rFonts w:ascii="Outfit;sans-serif" w:hAnsi="Outfit;sans-serif"/>
                <w:b/>
                <w:color w:val="3465B0"/>
                <w:sz w:val="11"/>
              </w:rPr>
              <w:t>(1)(3)</w:t>
            </w:r>
          </w:p>
        </w:tc>
        <w:tc>
          <w:tcPr>
            <w:tcW w:w="1381" w:type="dxa"/>
            <w:tcBorders>
              <w:bottom w:val="single" w:sz="12" w:space="0" w:color="3565B0"/>
            </w:tcBorders>
            <w:tcMar>
              <w:top w:w="0" w:type="dxa"/>
              <w:left w:w="0" w:type="dxa"/>
              <w:right w:w="0" w:type="dxa"/>
            </w:tcMar>
            <w:vAlign w:val="center"/>
          </w:tcPr>
          <w:p>
            <w:pPr>
              <w:pStyle w:val="TableContents"/>
              <w:bidi w:val="0"/>
              <w:jc w:val="center"/>
              <w:rPr>
                <w:rFonts w:ascii="Times New Roman" w:hAnsi="Times New Roman"/>
                <w:sz w:val="16"/>
              </w:rPr>
            </w:pPr>
            <w:r>
              <w:rPr>
                <w:rFonts w:ascii="Outfit;sans-serif" w:hAnsi="Outfit;sans-serif"/>
                <w:b/>
                <w:color w:val="3465B0"/>
                <w:sz w:val="16"/>
              </w:rPr>
              <w:t>CAP</w:t>
            </w:r>
            <w:r>
              <w:rPr>
                <w:rFonts w:ascii="Outfit;sans-serif" w:hAnsi="Outfit;sans-serif"/>
                <w:b/>
                <w:color w:val="3465B0"/>
                <w:sz w:val="11"/>
              </w:rPr>
              <w:t>(2)</w:t>
            </w:r>
            <w:r>
              <w:rPr>
                <w:rFonts w:ascii="Times New Roman" w:hAnsi="Times New Roman"/>
                <w:color w:val="3465B0"/>
                <w:sz w:val="16"/>
              </w:rPr>
              <w:t xml:space="preserve"> </w:t>
            </w:r>
          </w:p>
          <w:p>
            <w:pPr>
              <w:pStyle w:val="TableContents"/>
              <w:bidi w:val="0"/>
              <w:spacing w:before="0" w:after="283"/>
              <w:jc w:val="center"/>
              <w:rPr>
                <w:rFonts w:ascii="Times New Roman" w:hAnsi="Times New Roman"/>
                <w:sz w:val="16"/>
              </w:rPr>
            </w:pPr>
            <w:r>
              <w:rPr>
                <w:rFonts w:ascii="Outfit;sans-serif" w:hAnsi="Outfit;sans-serif"/>
                <w:b/>
                <w:color w:val="3465B0"/>
                <w:sz w:val="16"/>
              </w:rPr>
              <w:t>to Current PEO</w:t>
            </w:r>
            <w:r>
              <w:rPr>
                <w:rFonts w:ascii="Outfit;sans-serif" w:hAnsi="Outfit;sans-serif"/>
                <w:b/>
                <w:color w:val="3465B0"/>
                <w:sz w:val="11"/>
              </w:rPr>
              <w:t>(1)(3)</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Average SCT Total for Non-PEO NEOs</w:t>
            </w:r>
            <w:r>
              <w:rPr>
                <w:rFonts w:ascii="Outfit;sans-serif" w:hAnsi="Outfit;sans-serif"/>
                <w:b/>
                <w:color w:val="3465B0"/>
                <w:sz w:val="11"/>
              </w:rPr>
              <w:t>(1)</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Average CAP</w:t>
            </w:r>
            <w:r>
              <w:rPr>
                <w:rFonts w:ascii="Outfit;sans-serif" w:hAnsi="Outfit;sans-serif"/>
                <w:b/>
                <w:color w:val="3465B0"/>
                <w:sz w:val="11"/>
              </w:rPr>
              <w:t>(2)</w:t>
            </w:r>
            <w:r>
              <w:rPr>
                <w:rFonts w:ascii="Times New Roman" w:hAnsi="Times New Roman"/>
                <w:color w:val="3465B0"/>
                <w:sz w:val="16"/>
              </w:rPr>
              <w:t> </w:t>
            </w:r>
            <w:r>
              <w:rPr>
                <w:rFonts w:ascii="Outfit;sans-serif" w:hAnsi="Outfit;sans-serif"/>
                <w:b/>
                <w:color w:val="3465B0"/>
                <w:sz w:val="16"/>
              </w:rPr>
              <w:t>to Non-PEO NEOs</w:t>
            </w:r>
            <w:r>
              <w:rPr>
                <w:rFonts w:ascii="Outfit;sans-serif" w:hAnsi="Outfit;sans-serif"/>
                <w:b/>
                <w:color w:val="3465B0"/>
                <w:sz w:val="11"/>
              </w:rPr>
              <w:t>(1)(4)</w:t>
            </w:r>
          </w:p>
        </w:tc>
        <w:tc>
          <w:tcPr>
            <w:tcW w:w="123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Total Shareholder Return</w:t>
            </w:r>
          </w:p>
        </w:tc>
        <w:tc>
          <w:tcPr>
            <w:tcW w:w="123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2025 Peer Group Total Shareholder Return</w:t>
            </w:r>
            <w:r>
              <w:rPr>
                <w:rFonts w:ascii="Outfit;sans-serif" w:hAnsi="Outfit;sans-serif"/>
                <w:b/>
                <w:color w:val="3465B0"/>
                <w:sz w:val="11"/>
              </w:rPr>
              <w:t>(5)</w:t>
            </w:r>
          </w:p>
        </w:tc>
        <w:tc>
          <w:tcPr>
            <w:tcW w:w="112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6"/>
              </w:rPr>
            </w:pPr>
            <w:r>
              <w:rPr>
                <w:rFonts w:ascii="Outfit;sans-serif" w:hAnsi="Outfit;sans-serif"/>
                <w:b/>
                <w:color w:val="3465B0"/>
                <w:sz w:val="16"/>
              </w:rPr>
              <w:t xml:space="preserve">Net Income </w:t>
              <w:br/>
              <w:t>(in thousands)</w:t>
            </w:r>
          </w:p>
        </w:tc>
        <w:tc>
          <w:tcPr>
            <w:tcW w:w="121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3465B0"/>
                <w:sz w:val="16"/>
              </w:rPr>
              <w:t xml:space="preserve">Gross Profit </w:t>
              <w:br/>
              <w:t>(in thousands)</w:t>
            </w:r>
            <w:r>
              <w:rPr>
                <w:rFonts w:ascii="Outfit;sans-serif" w:hAnsi="Outfit;sans-serif"/>
                <w:b/>
                <w:color w:val="3465B0"/>
                <w:sz w:val="11"/>
              </w:rPr>
              <w:t>(6)</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(b)</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(b)</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(e)</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(g)</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w:t>
            </w:r>
          </w:p>
        </w:tc>
        <w:tc>
          <w:tcPr>
            <w:tcW w:w="121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b/>
                <w:color w:val="000000"/>
                <w:sz w:val="16"/>
              </w:rPr>
            </w:pPr>
            <w:r>
              <w:rPr>
                <w:rFonts w:ascii="Outfit;sans-serif" w:hAnsi="Outfit;sans-serif"/>
                <w:b/>
                <w:color w:val="000000"/>
                <w:sz w:val="16"/>
              </w:rPr>
              <w:t>(i)</w:t>
            </w:r>
          </w:p>
        </w:tc>
      </w:tr>
      <w:tr>
        <w:trPr/>
        <w:tc>
          <w:tcPr>
            <w:tcW w:w="7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2025</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$7,889,260</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$9,221,840</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$2,561,949</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$2,394,959</w:t>
            </w:r>
          </w:p>
        </w:tc>
        <w:tc>
          <w:tcPr>
            <w:tcW w:w="123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$120.86</w:t>
            </w:r>
          </w:p>
        </w:tc>
        <w:tc>
          <w:tcPr>
            <w:tcW w:w="123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$51.34</w:t>
            </w:r>
          </w:p>
        </w:tc>
        <w:tc>
          <w:tcPr>
            <w:tcW w:w="112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17"/>
              </w:rPr>
            </w:pPr>
            <w:r>
              <w:rPr>
                <w:rFonts w:ascii="Outfit;sans-serif" w:hAnsi="Outfit;sans-serif"/>
                <w:color w:val="000000"/>
                <w:sz w:val="17"/>
              </w:rPr>
              <w:t>$155,903</w:t>
            </w:r>
          </w:p>
        </w:tc>
        <w:tc>
          <w:tcPr>
            <w:tcW w:w="121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$841,513</w:t>
            </w:r>
          </w:p>
        </w:tc>
      </w:tr>
      <w:tr>
        <w:trPr/>
        <w:tc>
          <w:tcPr>
            <w:tcW w:w="78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2024</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$7,799,583</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$11,938,740</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$2,800,587</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$4,471,036</w:t>
            </w:r>
          </w:p>
        </w:tc>
        <w:tc>
          <w:tcPr>
            <w:tcW w:w="123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$115.16</w:t>
            </w:r>
          </w:p>
        </w:tc>
        <w:tc>
          <w:tcPr>
            <w:tcW w:w="123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$57.00</w:t>
            </w:r>
          </w:p>
        </w:tc>
        <w:tc>
          <w:tcPr>
            <w:tcW w:w="112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17"/>
              </w:rPr>
            </w:pPr>
            <w:r>
              <w:rPr>
                <w:rFonts w:ascii="Outfit;sans-serif" w:hAnsi="Outfit;sans-serif"/>
                <w:color w:val="000000"/>
                <w:sz w:val="17"/>
              </w:rPr>
              <w:t>$20,972</w:t>
            </w:r>
          </w:p>
        </w:tc>
        <w:tc>
          <w:tcPr>
            <w:tcW w:w="121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$727,697</w:t>
            </w:r>
          </w:p>
        </w:tc>
      </w:tr>
      <w:tr>
        <w:trPr/>
        <w:tc>
          <w:tcPr>
            <w:tcW w:w="7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2023</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$3,753,213</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$6,878,427</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$2,628,399</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$3,685,780</w:t>
            </w:r>
          </w:p>
        </w:tc>
        <w:tc>
          <w:tcPr>
            <w:tcW w:w="123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$76.14</w:t>
            </w:r>
          </w:p>
        </w:tc>
        <w:tc>
          <w:tcPr>
            <w:tcW w:w="123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$52.33</w:t>
            </w:r>
          </w:p>
        </w:tc>
        <w:tc>
          <w:tcPr>
            <w:tcW w:w="112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17"/>
              </w:rPr>
            </w:pPr>
            <w:r>
              <w:rPr>
                <w:rFonts w:ascii="Outfit;sans-serif" w:hAnsi="Outfit;sans-serif"/>
                <w:color w:val="000000"/>
                <w:sz w:val="17"/>
              </w:rPr>
              <w:t>$22,053</w:t>
            </w:r>
          </w:p>
        </w:tc>
        <w:tc>
          <w:tcPr>
            <w:tcW w:w="121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$636,611</w:t>
            </w:r>
          </w:p>
        </w:tc>
      </w:tr>
      <w:tr>
        <w:trPr/>
        <w:tc>
          <w:tcPr>
            <w:tcW w:w="78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2022</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$1,547,116</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color w:val="000000"/>
              </w:rPr>
            </w:pPr>
            <w:r>
              <w:rPr>
                <w:color w:val="000000"/>
              </w:rPr>
              <w:t>—</w:t>
            </w:r>
          </w:p>
        </w:tc>
        <w:tc>
          <w:tcPr>
            <w:tcW w:w="138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$(5,908,845)</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$2,550,688</w:t>
            </w:r>
          </w:p>
        </w:tc>
        <w:tc>
          <w:tcPr>
            <w:tcW w:w="127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$236,663</w:t>
            </w:r>
          </w:p>
        </w:tc>
        <w:tc>
          <w:tcPr>
            <w:tcW w:w="123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$44.15</w:t>
            </w:r>
          </w:p>
        </w:tc>
        <w:tc>
          <w:tcPr>
            <w:tcW w:w="123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$42.93</w:t>
            </w:r>
          </w:p>
        </w:tc>
        <w:tc>
          <w:tcPr>
            <w:tcW w:w="112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17"/>
              </w:rPr>
            </w:pPr>
            <w:r>
              <w:rPr>
                <w:rFonts w:ascii="Outfit;sans-serif" w:hAnsi="Outfit;sans-serif"/>
                <w:color w:val="000000"/>
                <w:sz w:val="17"/>
              </w:rPr>
              <w:t>$78,954</w:t>
            </w:r>
          </w:p>
        </w:tc>
        <w:tc>
          <w:tcPr>
            <w:tcW w:w="121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$657,553</w:t>
            </w:r>
          </w:p>
        </w:tc>
      </w:tr>
      <w:tr>
        <w:trPr/>
        <w:tc>
          <w:tcPr>
            <w:tcW w:w="7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2021</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$2,511,728</w:t>
            </w:r>
          </w:p>
        </w:tc>
        <w:tc>
          <w:tcPr>
            <w:tcW w:w="13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$19,211,250</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$2,146,098</w:t>
            </w:r>
          </w:p>
        </w:tc>
        <w:tc>
          <w:tcPr>
            <w:tcW w:w="138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$16,797,283</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$5,174,391</w:t>
            </w:r>
          </w:p>
        </w:tc>
        <w:tc>
          <w:tcPr>
            <w:tcW w:w="127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$3,598,174</w:t>
            </w:r>
          </w:p>
        </w:tc>
        <w:tc>
          <w:tcPr>
            <w:tcW w:w="123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$106.02</w:t>
            </w:r>
          </w:p>
        </w:tc>
        <w:tc>
          <w:tcPr>
            <w:tcW w:w="123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$87.41</w:t>
            </w:r>
          </w:p>
        </w:tc>
        <w:tc>
          <w:tcPr>
            <w:tcW w:w="1126"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17"/>
              </w:rPr>
            </w:pPr>
            <w:r>
              <w:rPr>
                <w:rFonts w:ascii="Outfit;sans-serif" w:hAnsi="Outfit;sans-serif"/>
                <w:color w:val="000000"/>
                <w:sz w:val="17"/>
              </w:rPr>
              <w:t>$110,373</w:t>
            </w:r>
          </w:p>
        </w:tc>
        <w:tc>
          <w:tcPr>
            <w:tcW w:w="1216"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Outfit;sans-serif" w:hAnsi="Outfit;sans-serif"/>
                <w:color w:val="000000"/>
                <w:sz w:val="17"/>
              </w:rPr>
            </w:pPr>
            <w:r>
              <w:rPr>
                <w:rFonts w:ascii="Outfit;sans-serif" w:hAnsi="Outfit;sans-serif"/>
                <w:color w:val="000000"/>
                <w:sz w:val="17"/>
              </w:rPr>
              <w:t>$657,358</w:t>
            </w:r>
          </w:p>
        </w:tc>
      </w:tr>
    </w:tbl>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pPr>
      <w:r>
        <w:rPr>
          <w:rFonts w:ascii="Outfit;sans-serif" w:hAnsi="Outfit;sans-serif"/>
          <w:color w:val="000000"/>
          <w:sz w:val="20"/>
        </w:rPr>
        <w:t>As a result of a PEO transition that occurred in 2021, two PEOs are reported in the above table. On January 21, 2021, Mr. Steinert</w:t>
      </w:r>
      <w:r>
        <w:rPr>
          <w:color w:val="000000"/>
        </w:rPr>
        <w:t xml:space="preserve"> </w:t>
      </w:r>
      <w:r>
        <w:rPr>
          <w:rFonts w:ascii="Outfit;sans-serif" w:hAnsi="Outfit;sans-serif"/>
          <w:color w:val="000000"/>
          <w:sz w:val="20"/>
        </w:rPr>
        <w:t>ceased to serve as PEO and Mr. Trevisan</w:t>
      </w:r>
      <w:r>
        <w:rPr>
          <w:color w:val="000000"/>
        </w:rPr>
        <w:t xml:space="preserve"> </w:t>
      </w:r>
      <w:r>
        <w:rPr>
          <w:rFonts w:ascii="Outfit;sans-serif" w:hAnsi="Outfit;sans-serif"/>
          <w:color w:val="000000"/>
          <w:sz w:val="20"/>
        </w:rPr>
        <w:t>was appointed PEO (listed as Current PEO). The Company’s Non-PEO NEOs for the applicable years are as follows:</w:t>
      </w:r>
    </w:p>
    <w:p>
      <w:pPr>
        <w:pStyle w:val="TextBody"/>
        <w:bidi w:val="0"/>
        <w:spacing w:before="120" w:after="283"/>
        <w:jc w:val="both"/>
        <w:rPr>
          <w:rFonts w:ascii="Outfit" w:hAnsi="Outfit"/>
          <w:color w:val="000000"/>
          <w:sz w:val="20"/>
        </w:rPr>
      </w:pPr>
      <w:r>
        <w:rPr>
          <w:rFonts w:ascii="Outfit" w:hAnsi="Outfit"/>
          <w:color w:val="000000"/>
          <w:sz w:val="20"/>
        </w:rPr>
        <w:t>a.</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2025: Elisa Palazzo, Langley Steinert, Matthew Quinn, and Samuel Zales</w:t>
      </w:r>
    </w:p>
    <w:p>
      <w:pPr>
        <w:pStyle w:val="TextBody"/>
        <w:bidi w:val="0"/>
        <w:spacing w:before="120" w:after="283"/>
        <w:jc w:val="both"/>
        <w:rPr>
          <w:rFonts w:ascii="Outfit" w:hAnsi="Outfit"/>
          <w:color w:val="000000"/>
          <w:sz w:val="20"/>
        </w:rPr>
      </w:pPr>
      <w:r>
        <w:rPr>
          <w:rFonts w:ascii="Outfit" w:hAnsi="Outfit"/>
          <w:color w:val="000000"/>
          <w:sz w:val="20"/>
        </w:rPr>
        <w:t>b.</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2024: Elisa Palazzo, Ismail Elshareef, Matthew Quinn, and Samuel Zales</w:t>
      </w:r>
    </w:p>
    <w:p>
      <w:pPr>
        <w:pStyle w:val="TextBody"/>
        <w:bidi w:val="0"/>
        <w:spacing w:before="120" w:after="283"/>
        <w:jc w:val="both"/>
        <w:rPr>
          <w:rFonts w:ascii="Outfit" w:hAnsi="Outfit"/>
          <w:color w:val="000000"/>
          <w:sz w:val="20"/>
        </w:rPr>
      </w:pPr>
      <w:r>
        <w:rPr>
          <w:rFonts w:ascii="Outfit" w:hAnsi="Outfit"/>
          <w:color w:val="000000"/>
          <w:sz w:val="20"/>
        </w:rPr>
        <w:t>c.</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2023: Elisa Palazzo, Langley Steinert, Zachary Hallowell, and Matthew Quinn</w:t>
      </w:r>
    </w:p>
    <w:p>
      <w:pPr>
        <w:pStyle w:val="TextBody"/>
        <w:bidi w:val="0"/>
        <w:spacing w:before="120" w:after="283"/>
        <w:jc w:val="both"/>
        <w:rPr>
          <w:rFonts w:ascii="Outfit" w:hAnsi="Outfit"/>
          <w:color w:val="000000"/>
          <w:sz w:val="20"/>
        </w:rPr>
      </w:pPr>
      <w:r>
        <w:rPr>
          <w:rFonts w:ascii="Outfit" w:hAnsi="Outfit"/>
          <w:color w:val="000000"/>
          <w:sz w:val="20"/>
        </w:rPr>
        <w:t>d.</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2022: Langley Steinert, Scot Fredo, Matthew Quinn, and Andrea Eldridge</w:t>
      </w:r>
    </w:p>
    <w:p>
      <w:pPr>
        <w:pStyle w:val="TextBody"/>
        <w:bidi w:val="0"/>
        <w:spacing w:before="120" w:after="283"/>
        <w:jc w:val="both"/>
        <w:rPr>
          <w:rFonts w:ascii="Outfit" w:hAnsi="Outfit"/>
          <w:color w:val="000000"/>
          <w:sz w:val="20"/>
        </w:rPr>
      </w:pPr>
      <w:r>
        <w:rPr>
          <w:rFonts w:ascii="Outfit" w:hAnsi="Outfit"/>
          <w:color w:val="000000"/>
          <w:sz w:val="20"/>
        </w:rPr>
        <w:t>e.</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2021: Samuel Zales, Andrea Eldridge, Scot Fredo, Dafna Sarnoff, and Sarah Welch</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CAP to our named executive officers in each of 2025, 2024, 2023, 2022, and 2021 reflects the respective amounts set forth in columns (c) and (e), as applicable, of the table above, adjusted as set forth in footnotes (3) and (4) below, as applicable, as determined in accordance with SEC rules. The dollar amounts reflected in columns (c) and (e) of the table above do not reflect the actual amount of compensation earned by or paid to our named executive officers during the applicable year.</w:t>
      </w:r>
    </w:p>
    <w:p>
      <w:pPr>
        <w:pStyle w:val="TextBody"/>
        <w:bidi w:val="0"/>
        <w:jc w:val="center"/>
        <w:rPr>
          <w:rFonts w:ascii="Outfit;sans-serif" w:hAnsi="Outfit;sans-serif"/>
          <w:color w:val="000000"/>
          <w:sz w:val="22"/>
        </w:rPr>
      </w:pPr>
      <w:r>
        <w:rPr>
          <w:rFonts w:ascii="Outfit;sans-serif" w:hAnsi="Outfit;sans-serif"/>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 w:hAnsi="Outfit"/>
          <w:color w:val="000000"/>
          <w:sz w:val="20"/>
        </w:rPr>
      </w:pPr>
      <w:r>
        <w:rPr>
          <w:rFonts w:ascii="Outfit" w:hAnsi="Outfit"/>
          <w:color w:val="000000"/>
          <w:sz w:val="20"/>
        </w:rPr>
        <w:t>(3)</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The following table sets forth the adjustments made to SCT total compensation pursuant to Item 402(v) of Regulation S-K to determine CAP for the Current PEO and Former PEO in 2025, 2024, 2023, 2022, and 2021:</w:t>
      </w:r>
    </w:p>
    <w:tbl>
      <w:tblPr>
        <w:tblW w:w="10205" w:type="dxa"/>
        <w:jc w:val="left"/>
        <w:tblInd w:w="0" w:type="dxa"/>
        <w:tblLayout w:type="fixed"/>
        <w:tblCellMar>
          <w:top w:w="28" w:type="dxa"/>
          <w:left w:w="28" w:type="dxa"/>
          <w:bottom w:w="28" w:type="dxa"/>
          <w:right w:w="28" w:type="dxa"/>
        </w:tblCellMar>
      </w:tblPr>
      <w:tblGrid>
        <w:gridCol w:w="2394"/>
        <w:gridCol w:w="1267"/>
        <w:gridCol w:w="1308"/>
        <w:gridCol w:w="1267"/>
        <w:gridCol w:w="1267"/>
        <w:gridCol w:w="1387"/>
        <w:gridCol w:w="1315"/>
      </w:tblGrid>
      <w:tr>
        <w:trPr/>
        <w:tc>
          <w:tcPr>
            <w:tcW w:w="2394" w:type="dxa"/>
            <w:tcBorders/>
            <w:shd w:fill="FFFFFF" w:val="clear"/>
            <w:vAlign w:val="center"/>
          </w:tcPr>
          <w:p>
            <w:pPr>
              <w:pStyle w:val="TableContents"/>
              <w:bidi w:val="0"/>
              <w:spacing w:before="0" w:after="283"/>
              <w:jc w:val="left"/>
              <w:rPr>
                <w:sz w:val="4"/>
                <w:szCs w:val="4"/>
              </w:rPr>
            </w:pPr>
            <w:r>
              <w:rPr>
                <w:sz w:val="4"/>
                <w:szCs w:val="4"/>
              </w:rPr>
            </w:r>
          </w:p>
        </w:tc>
        <w:tc>
          <w:tcPr>
            <w:tcW w:w="1267" w:type="dxa"/>
            <w:tcBorders/>
            <w:shd w:fill="FFFFFF" w:val="clear"/>
            <w:vAlign w:val="center"/>
          </w:tcPr>
          <w:p>
            <w:pPr>
              <w:pStyle w:val="TableContents"/>
              <w:bidi w:val="0"/>
              <w:spacing w:before="0" w:after="283"/>
              <w:jc w:val="left"/>
              <w:rPr>
                <w:sz w:val="4"/>
                <w:szCs w:val="4"/>
              </w:rPr>
            </w:pPr>
            <w:r>
              <w:rPr>
                <w:sz w:val="4"/>
                <w:szCs w:val="4"/>
              </w:rPr>
            </w:r>
          </w:p>
        </w:tc>
        <w:tc>
          <w:tcPr>
            <w:tcW w:w="1308" w:type="dxa"/>
            <w:tcBorders/>
            <w:shd w:fill="FFFFFF" w:val="clear"/>
            <w:vAlign w:val="center"/>
          </w:tcPr>
          <w:p>
            <w:pPr>
              <w:pStyle w:val="TableContents"/>
              <w:bidi w:val="0"/>
              <w:spacing w:before="0" w:after="283"/>
              <w:jc w:val="left"/>
              <w:rPr>
                <w:sz w:val="4"/>
                <w:szCs w:val="4"/>
              </w:rPr>
            </w:pPr>
            <w:r>
              <w:rPr>
                <w:sz w:val="4"/>
                <w:szCs w:val="4"/>
              </w:rPr>
            </w:r>
          </w:p>
        </w:tc>
        <w:tc>
          <w:tcPr>
            <w:tcW w:w="1267" w:type="dxa"/>
            <w:tcBorders/>
            <w:shd w:fill="FFFFFF" w:val="clear"/>
            <w:vAlign w:val="center"/>
          </w:tcPr>
          <w:p>
            <w:pPr>
              <w:pStyle w:val="TableContents"/>
              <w:bidi w:val="0"/>
              <w:spacing w:before="0" w:after="283"/>
              <w:jc w:val="left"/>
              <w:rPr>
                <w:sz w:val="4"/>
                <w:szCs w:val="4"/>
              </w:rPr>
            </w:pPr>
            <w:r>
              <w:rPr>
                <w:sz w:val="4"/>
                <w:szCs w:val="4"/>
              </w:rPr>
            </w:r>
          </w:p>
        </w:tc>
        <w:tc>
          <w:tcPr>
            <w:tcW w:w="1267" w:type="dxa"/>
            <w:tcBorders/>
            <w:shd w:fill="FFFFFF" w:val="clear"/>
            <w:vAlign w:val="center"/>
          </w:tcPr>
          <w:p>
            <w:pPr>
              <w:pStyle w:val="TableContents"/>
              <w:bidi w:val="0"/>
              <w:spacing w:before="0" w:after="283"/>
              <w:jc w:val="left"/>
              <w:rPr>
                <w:sz w:val="4"/>
                <w:szCs w:val="4"/>
              </w:rPr>
            </w:pPr>
            <w:r>
              <w:rPr>
                <w:sz w:val="4"/>
                <w:szCs w:val="4"/>
              </w:rPr>
            </w:r>
          </w:p>
        </w:tc>
        <w:tc>
          <w:tcPr>
            <w:tcW w:w="1387" w:type="dxa"/>
            <w:tcBorders/>
            <w:shd w:fill="FFFFFF" w:val="clear"/>
            <w:vAlign w:val="center"/>
          </w:tcPr>
          <w:p>
            <w:pPr>
              <w:pStyle w:val="TableContents"/>
              <w:bidi w:val="0"/>
              <w:spacing w:before="0" w:after="283"/>
              <w:jc w:val="left"/>
              <w:rPr>
                <w:sz w:val="4"/>
                <w:szCs w:val="4"/>
              </w:rPr>
            </w:pPr>
            <w:r>
              <w:rPr>
                <w:sz w:val="4"/>
                <w:szCs w:val="4"/>
              </w:rPr>
            </w:r>
          </w:p>
        </w:tc>
        <w:tc>
          <w:tcPr>
            <w:tcW w:w="1315" w:type="dxa"/>
            <w:tcBorders/>
            <w:shd w:fill="FFFFFF" w:val="clear"/>
            <w:vAlign w:val="center"/>
          </w:tcPr>
          <w:p>
            <w:pPr>
              <w:pStyle w:val="TableContents"/>
              <w:bidi w:val="0"/>
              <w:spacing w:before="0" w:after="283"/>
              <w:jc w:val="left"/>
              <w:rPr>
                <w:sz w:val="4"/>
                <w:szCs w:val="4"/>
              </w:rPr>
            </w:pPr>
            <w:r>
              <w:rPr>
                <w:sz w:val="4"/>
                <w:szCs w:val="4"/>
              </w:rPr>
            </w:r>
          </w:p>
        </w:tc>
      </w:tr>
      <w:tr>
        <w:trPr/>
        <w:tc>
          <w:tcPr>
            <w:tcW w:w="2394"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PEO SCT Total to CAP Adjustments</w:t>
            </w:r>
          </w:p>
        </w:tc>
        <w:tc>
          <w:tcPr>
            <w:tcW w:w="126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2025</w:t>
            </w:r>
          </w:p>
        </w:tc>
        <w:tc>
          <w:tcPr>
            <w:tcW w:w="1308"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2024</w:t>
            </w:r>
          </w:p>
        </w:tc>
        <w:tc>
          <w:tcPr>
            <w:tcW w:w="126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2023</w:t>
            </w:r>
          </w:p>
        </w:tc>
        <w:tc>
          <w:tcPr>
            <w:tcW w:w="126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2022</w:t>
            </w:r>
          </w:p>
        </w:tc>
        <w:tc>
          <w:tcPr>
            <w:tcW w:w="138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2021</w:t>
              <w:br/>
              <w:t>Current PEO</w:t>
            </w:r>
          </w:p>
        </w:tc>
        <w:tc>
          <w:tcPr>
            <w:tcW w:w="1315"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2021</w:t>
              <w:br/>
              <w:t>Former PEO</w:t>
            </w:r>
          </w:p>
        </w:tc>
      </w:tr>
      <w:tr>
        <w:trPr/>
        <w:tc>
          <w:tcPr>
            <w:tcW w:w="2394"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Reported in SCT</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$7,889,260</w:t>
            </w:r>
          </w:p>
        </w:tc>
        <w:tc>
          <w:tcPr>
            <w:tcW w:w="1308"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$7,799,583</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$3,753,213</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$1,547,116</w:t>
            </w:r>
          </w:p>
        </w:tc>
        <w:tc>
          <w:tcPr>
            <w:tcW w:w="138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$19,211,250</w:t>
            </w:r>
          </w:p>
        </w:tc>
        <w:tc>
          <w:tcPr>
            <w:tcW w:w="131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$2,511,728</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(Minus): Grant Date Fair Value of Stock Awards and Option Awards Reported in SCT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$(6,499,975)</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$(6,399,989)</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$(2,564,246)</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$(545,278)</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$(18,012,558)</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$(2,501,728)</w:t>
            </w:r>
          </w:p>
        </w:tc>
      </w:tr>
      <w:tr>
        <w:trPr/>
        <w:tc>
          <w:tcPr>
            <w:tcW w:w="2394"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Plus: Year-End Fair Value of Equity Awards Granted During Covered Year That Remained Unvested as of Last Day of Covered Year</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$6,506,116</w:t>
            </w:r>
          </w:p>
        </w:tc>
        <w:tc>
          <w:tcPr>
            <w:tcW w:w="1308"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$8,797,224</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$2,315,808</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38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$13,651,861</w:t>
            </w:r>
          </w:p>
        </w:tc>
        <w:tc>
          <w:tcPr>
            <w:tcW w:w="131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$1,896,098</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Plus/(Minus): Change in Fair Value from Last Day of Prior Year to Last Day of Covered Year of Unvested Equity Awards</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$249,011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$617,863</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$1,628,283</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$(7,994,953)</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$191,487</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$116,789</w:t>
            </w:r>
          </w:p>
        </w:tc>
      </w:tr>
      <w:tr>
        <w:trPr/>
        <w:tc>
          <w:tcPr>
            <w:tcW w:w="2394"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Plus: Vesting-Date Fair Value of Equity Awards Granted During Year that Vested During Year</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$1,311,917</w:t>
            </w:r>
          </w:p>
        </w:tc>
        <w:tc>
          <w:tcPr>
            <w:tcW w:w="1308"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$889,998</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$1,127,794</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38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$1,891,757</w:t>
            </w:r>
          </w:p>
        </w:tc>
        <w:tc>
          <w:tcPr>
            <w:tcW w:w="131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$262,730</w:t>
            </w:r>
          </w:p>
        </w:tc>
      </w:tr>
      <w:tr>
        <w:trPr/>
        <w:tc>
          <w:tcPr>
            <w:tcW w:w="23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Plus/(Minus): Change in Fair Value from Last Day of Prior Year to Vesting Date of Unvested Equity Awards that Vested During Covered Year</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$(234,489)</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$234,061</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$617,575</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$1,084,270</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$(136,514)</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$(139,519)</w:t>
            </w:r>
          </w:p>
        </w:tc>
      </w:tr>
      <w:tr>
        <w:trPr/>
        <w:tc>
          <w:tcPr>
            <w:tcW w:w="2394"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(Minus): Fair Value at Last Day of Prior Year of Equity Awards Forfeited During Covered Year</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308"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38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31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r>
      <w:tr>
        <w:trPr/>
        <w:tc>
          <w:tcPr>
            <w:tcW w:w="2394"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Adjustments</w:t>
            </w:r>
          </w:p>
        </w:tc>
        <w:tc>
          <w:tcPr>
            <w:tcW w:w="1267"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$1,332,580</w:t>
            </w:r>
          </w:p>
        </w:tc>
        <w:tc>
          <w:tcPr>
            <w:tcW w:w="1308"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$4,139,157</w:t>
            </w:r>
          </w:p>
        </w:tc>
        <w:tc>
          <w:tcPr>
            <w:tcW w:w="1267"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$3,125,214</w:t>
            </w:r>
          </w:p>
        </w:tc>
        <w:tc>
          <w:tcPr>
            <w:tcW w:w="1267"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$(7,455,961)</w:t>
            </w:r>
          </w:p>
        </w:tc>
        <w:tc>
          <w:tcPr>
            <w:tcW w:w="1387"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$(2,413,967)</w:t>
            </w:r>
          </w:p>
        </w:tc>
        <w:tc>
          <w:tcPr>
            <w:tcW w:w="1315"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$(365,630)</w:t>
            </w:r>
          </w:p>
        </w:tc>
      </w:tr>
      <w:tr>
        <w:trPr/>
        <w:tc>
          <w:tcPr>
            <w:tcW w:w="2394"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CAP</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$9,221,840</w:t>
            </w:r>
          </w:p>
        </w:tc>
        <w:tc>
          <w:tcPr>
            <w:tcW w:w="1308"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$11,938,740</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$6,878,427</w:t>
            </w:r>
          </w:p>
        </w:tc>
        <w:tc>
          <w:tcPr>
            <w:tcW w:w="126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$(5,908,845)</w:t>
            </w:r>
          </w:p>
        </w:tc>
        <w:tc>
          <w:tcPr>
            <w:tcW w:w="1387"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$16,797,283</w:t>
            </w:r>
          </w:p>
        </w:tc>
        <w:tc>
          <w:tcPr>
            <w:tcW w:w="131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$2,146,098</w:t>
            </w:r>
          </w:p>
        </w:tc>
      </w:tr>
    </w:tbl>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Outfit" w:hAnsi="Outfit"/>
          <w:color w:val="000000"/>
          <w:sz w:val="20"/>
        </w:rPr>
      </w:pPr>
      <w:r>
        <w:rPr>
          <w:rFonts w:ascii="Outfit" w:hAnsi="Outfit"/>
          <w:color w:val="000000"/>
          <w:sz w:val="20"/>
        </w:rPr>
        <w:t>(4)</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The following table sets forth the adjustments made to SCT total compensation pursuant to Item 402(v) of Regulation S-K to determine average CAP for the Non-PEO NEOs in 2025, 2024, 2023, 2022, and 2021:</w:t>
      </w:r>
    </w:p>
    <w:tbl>
      <w:tblPr>
        <w:tblW w:w="10205" w:type="dxa"/>
        <w:jc w:val="left"/>
        <w:tblInd w:w="0" w:type="dxa"/>
        <w:tblLayout w:type="fixed"/>
        <w:tblCellMar>
          <w:top w:w="28" w:type="dxa"/>
          <w:left w:w="28" w:type="dxa"/>
          <w:bottom w:w="28" w:type="dxa"/>
          <w:right w:w="28" w:type="dxa"/>
        </w:tblCellMar>
      </w:tblPr>
      <w:tblGrid>
        <w:gridCol w:w="3776"/>
        <w:gridCol w:w="1276"/>
        <w:gridCol w:w="1276"/>
        <w:gridCol w:w="1276"/>
        <w:gridCol w:w="1276"/>
        <w:gridCol w:w="1325"/>
      </w:tblGrid>
      <w:tr>
        <w:trPr/>
        <w:tc>
          <w:tcPr>
            <w:tcW w:w="377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325" w:type="dxa"/>
            <w:tcBorders/>
            <w:shd w:fill="FFFFFF" w:val="clear"/>
            <w:vAlign w:val="center"/>
          </w:tcPr>
          <w:p>
            <w:pPr>
              <w:pStyle w:val="TableContents"/>
              <w:bidi w:val="0"/>
              <w:spacing w:before="0" w:after="283"/>
              <w:jc w:val="left"/>
              <w:rPr>
                <w:sz w:val="4"/>
                <w:szCs w:val="4"/>
              </w:rPr>
            </w:pPr>
            <w:r>
              <w:rPr>
                <w:sz w:val="4"/>
                <w:szCs w:val="4"/>
              </w:rPr>
            </w:r>
          </w:p>
        </w:tc>
      </w:tr>
      <w:tr>
        <w:trPr/>
        <w:tc>
          <w:tcPr>
            <w:tcW w:w="37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Non-PEO NEOs Average</w:t>
              <w:br/>
              <w:t>SCT to CAP Adjustments</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2025</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2024</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2023</w:t>
            </w:r>
          </w:p>
        </w:tc>
        <w:tc>
          <w:tcPr>
            <w:tcW w:w="1276"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2022</w:t>
            </w:r>
          </w:p>
        </w:tc>
        <w:tc>
          <w:tcPr>
            <w:tcW w:w="1325"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18"/>
              </w:rPr>
            </w:pPr>
            <w:r>
              <w:rPr>
                <w:rFonts w:ascii="Outfit;sans-serif" w:hAnsi="Outfit;sans-serif"/>
                <w:b/>
                <w:color w:val="3465B0"/>
                <w:sz w:val="18"/>
              </w:rPr>
              <w:t>2021</w:t>
            </w:r>
          </w:p>
        </w:tc>
      </w:tr>
      <w:tr>
        <w:trPr/>
        <w:tc>
          <w:tcPr>
            <w:tcW w:w="3776" w:type="dxa"/>
            <w:tcBorders/>
            <w:shd w:fill="D9E1E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Total Reported in SCT</w:t>
            </w:r>
            <w:r>
              <w:rPr>
                <w:rFonts w:ascii="Times New Roman" w:hAnsi="Times New Roman"/>
                <w:color w:val="000000"/>
                <w:sz w:val="18"/>
              </w:rPr>
              <w:t xml:space="preserve"> </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$2,561,949</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$2,800,587</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$2,628,399</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$2,550,688</w:t>
            </w:r>
          </w:p>
        </w:tc>
        <w:tc>
          <w:tcPr>
            <w:tcW w:w="132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$5,174,391</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(Minus): Grant Date Fair Value of Stock Awards and Option Awards Reported in SCT</w:t>
            </w:r>
            <w:r>
              <w:rPr>
                <w:rFonts w:ascii="Times New Roman" w:hAnsi="Times New Roman"/>
                <w:color w:val="000000"/>
                <w:sz w:val="18"/>
              </w:rPr>
              <w:t xml:space="preserve">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$(2,024,991)</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$(1,934,989)</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$(2,324,989)</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$(2,181,475)</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$(4,225,087)</w:t>
            </w:r>
          </w:p>
        </w:tc>
      </w:tr>
      <w:tr>
        <w:trPr/>
        <w:tc>
          <w:tcPr>
            <w:tcW w:w="3776" w:type="dxa"/>
            <w:tcBorders/>
            <w:shd w:fill="D9E1E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Plus: Year-End Fair Value of Equity Awards Granted During Covered Year That Remained Unvested as of Last Day of Covered Year</w:t>
            </w:r>
            <w:r>
              <w:rPr>
                <w:rFonts w:ascii="Times New Roman" w:hAnsi="Times New Roman"/>
                <w:color w:val="000000"/>
                <w:sz w:val="18"/>
              </w:rPr>
              <w:t xml:space="preserve"> </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$2,026,913</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$2,684,649</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$2,796,285</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$537,561</w:t>
            </w:r>
          </w:p>
        </w:tc>
        <w:tc>
          <w:tcPr>
            <w:tcW w:w="132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$3,027,728</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Plus/(Minus): Change in Fair Value from Last Day of Prior Year to Last Day of Year of Unvested Equity Awards</w:t>
            </w:r>
            <w:r>
              <w:rPr>
                <w:rFonts w:ascii="Times New Roman" w:hAnsi="Times New Roman"/>
                <w:color w:val="000000"/>
                <w:sz w:val="18"/>
              </w:rPr>
              <w:t xml:space="preserve">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$124,752</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$544,383</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$249,270</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$(960,465)</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$53,440</w:t>
            </w:r>
          </w:p>
        </w:tc>
      </w:tr>
      <w:tr>
        <w:trPr/>
        <w:tc>
          <w:tcPr>
            <w:tcW w:w="3776" w:type="dxa"/>
            <w:tcBorders/>
            <w:shd w:fill="D9E1E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Plus: Vesting-Date Fair Value of Equity Awards Granted During Covered Year that Vested During Covered Year</w:t>
            </w:r>
            <w:r>
              <w:rPr>
                <w:rFonts w:ascii="Times New Roman" w:hAnsi="Times New Roman"/>
                <w:color w:val="000000"/>
                <w:sz w:val="18"/>
              </w:rPr>
              <w:t xml:space="preserve"> </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$408,707</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$243,008</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$263,883</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$231,449</w:t>
            </w:r>
          </w:p>
        </w:tc>
        <w:tc>
          <w:tcPr>
            <w:tcW w:w="132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$342,600</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Plus/(Minus): Change in Fair Value from Last Day of Prior Year to Vesting Date of Unvested Equity Awards that Vested During Covered Year</w:t>
            </w:r>
            <w:r>
              <w:rPr>
                <w:rFonts w:ascii="Times New Roman" w:hAnsi="Times New Roman"/>
                <w:color w:val="000000"/>
                <w:sz w:val="18"/>
              </w:rPr>
              <w:t xml:space="preserve">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$(127,250)</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$133,399</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$72,932</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$58,906</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$(57,775)</w:t>
            </w:r>
          </w:p>
        </w:tc>
      </w:tr>
      <w:tr>
        <w:trPr/>
        <w:tc>
          <w:tcPr>
            <w:tcW w:w="3776" w:type="dxa"/>
            <w:tcBorders/>
            <w:shd w:fill="D9E1E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(Minus): Fair Value at Last Day of Prior Year of Equity Awards Forfeited During Covered Year</w:t>
            </w:r>
            <w:r>
              <w:rPr>
                <w:rFonts w:ascii="Times New Roman" w:hAnsi="Times New Roman"/>
                <w:color w:val="000000"/>
                <w:sz w:val="18"/>
              </w:rPr>
              <w:t xml:space="preserve"> </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$(575,121)</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$0</w:t>
            </w:r>
          </w:p>
        </w:tc>
        <w:tc>
          <w:tcPr>
            <w:tcW w:w="132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$(717,123)</w:t>
            </w:r>
          </w:p>
        </w:tc>
      </w:tr>
      <w:tr>
        <w:trPr/>
        <w:tc>
          <w:tcPr>
            <w:tcW w:w="3776"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Outfit;sans-serif" w:hAnsi="Outfit;sans-serif"/>
                <w:color w:val="000000"/>
                <w:sz w:val="18"/>
              </w:rPr>
              <w:t>Total Adjustments</w:t>
            </w:r>
            <w:r>
              <w:rPr>
                <w:rFonts w:ascii="Times New Roman" w:hAnsi="Times New Roman"/>
                <w:color w:val="000000"/>
                <w:sz w:val="18"/>
              </w:rPr>
              <w:t xml:space="preserve"> </w:t>
            </w:r>
          </w:p>
        </w:tc>
        <w:tc>
          <w:tcPr>
            <w:tcW w:w="1276"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$(166,990)</w:t>
            </w:r>
          </w:p>
        </w:tc>
        <w:tc>
          <w:tcPr>
            <w:tcW w:w="1276"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$1,670,450</w:t>
            </w:r>
          </w:p>
        </w:tc>
        <w:tc>
          <w:tcPr>
            <w:tcW w:w="1276"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$1,057,381</w:t>
            </w:r>
          </w:p>
        </w:tc>
        <w:tc>
          <w:tcPr>
            <w:tcW w:w="1276"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$(2,314,024)</w:t>
            </w:r>
          </w:p>
        </w:tc>
        <w:tc>
          <w:tcPr>
            <w:tcW w:w="1325" w:type="dxa"/>
            <w:tcBorders>
              <w:bottom w:val="single" w:sz="12" w:space="0" w:color="3565B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$(1,576,217)</w:t>
            </w:r>
          </w:p>
        </w:tc>
      </w:tr>
      <w:tr>
        <w:trPr/>
        <w:tc>
          <w:tcPr>
            <w:tcW w:w="3776" w:type="dxa"/>
            <w:tcBorders/>
            <w:shd w:fill="D9E1EB"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CAP</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$2,394,959</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$4,471,036</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$3,685,780</w:t>
            </w:r>
          </w:p>
        </w:tc>
        <w:tc>
          <w:tcPr>
            <w:tcW w:w="1276"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$236,663</w:t>
            </w:r>
          </w:p>
        </w:tc>
        <w:tc>
          <w:tcPr>
            <w:tcW w:w="1325"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18"/>
              </w:rPr>
            </w:pPr>
            <w:r>
              <w:rPr>
                <w:rFonts w:ascii="Outfit;sans-serif" w:hAnsi="Outfit;sans-serif"/>
                <w:color w:val="000000"/>
                <w:sz w:val="18"/>
              </w:rPr>
              <w:t>$3,598,174</w:t>
            </w:r>
          </w:p>
        </w:tc>
      </w:tr>
    </w:tbl>
    <w:p>
      <w:pPr>
        <w:pStyle w:val="TextBody"/>
        <w:bidi w:val="0"/>
        <w:spacing w:before="120" w:after="283"/>
        <w:jc w:val="both"/>
        <w:rPr>
          <w:rFonts w:ascii="Outfit" w:hAnsi="Outfit"/>
          <w:color w:val="000000"/>
          <w:sz w:val="20"/>
        </w:rPr>
      </w:pPr>
      <w:r>
        <w:rPr>
          <w:rFonts w:ascii="Outfit" w:hAnsi="Outfit"/>
          <w:color w:val="000000"/>
          <w:sz w:val="20"/>
        </w:rPr>
        <w:t>(5)</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Total Shareholder Return is determined based on the value of an initial fixed investment of $100 in our Class A common stock on December 31, 2020, assuming the reinvestment of any dividends. The peer group Total Shareholder Return represents the Total Shareholder Return of our Compensation Discussion and Analysis peer group companies, weighted by market capitalization at each fiscal year end. The year-over-year changes in the composition of the peer group are the result of the application of pre-established objective criteria in determining its composition for purposes of using it as a reference in evaluating our executive compensation program. Our Compensation Discussion and Analysis peer group companies for 2021 – 2025 were as follows:</w:t>
      </w:r>
    </w:p>
    <w:p>
      <w:pPr>
        <w:pStyle w:val="TextBody"/>
        <w:bidi w:val="0"/>
        <w:spacing w:before="120" w:after="283"/>
        <w:jc w:val="both"/>
        <w:rPr>
          <w:rFonts w:ascii="Outfit" w:hAnsi="Outfit"/>
          <w:color w:val="000000"/>
          <w:sz w:val="20"/>
        </w:rPr>
      </w:pPr>
      <w:r>
        <w:rPr>
          <w:rFonts w:ascii="Outfit" w:hAnsi="Outfit"/>
          <w:color w:val="000000"/>
          <w:sz w:val="20"/>
        </w:rPr>
        <w:t>a.</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2025 Compensation Discussion and Analysis peer group companies: ACI Worldwide, Inc., ACV Auctions Inc., Alarm.com Holdings, Inc., Angi Inc., Bumble Inc., Cars.com Inc., Commvault Systems, Inc., Envestnet, Inc., Flywire Corporation, GoodRx Holdings, Inc., NetScout Systems, Inc., OPENLANE, Inc., Pegasystems Inc., Rapid7, Inc., Shutterstock, Inc., Squarespace, Inc., TripAdvisor, Inc., Upwork, Inc., Yelp Inc.</w:t>
      </w:r>
    </w:p>
    <w:p>
      <w:pPr>
        <w:pStyle w:val="TextBody"/>
        <w:bidi w:val="0"/>
        <w:spacing w:before="120" w:after="283"/>
        <w:jc w:val="both"/>
        <w:rPr>
          <w:rFonts w:ascii="Outfit" w:hAnsi="Outfit"/>
          <w:color w:val="000000"/>
          <w:sz w:val="20"/>
        </w:rPr>
      </w:pPr>
      <w:r>
        <w:rPr>
          <w:rFonts w:ascii="Outfit" w:hAnsi="Outfit"/>
          <w:color w:val="000000"/>
          <w:sz w:val="20"/>
        </w:rPr>
        <w:t>b.</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2024 Compensation Discussion and Analysis peer group companies: ACI Worldwide, Inc., ACV Auctions Inc., Alarm.com Holdings, Inc., Angi Inc., Bumble Inc., Cars.com Inc., Commvault Systems, Inc., Envestnet, Inc., Everbridge, Inc., Flywire Corp., NetScout Systems, Inc., OPENLANE, Inc., Pegasystems Inc., Rapid7, Inc., Redfin Corporation, Shutterstock, Inc., TripAdvisor, Inc., Upwork, Inc., Yelp Inc., ZipRecruiter, Inc.</w:t>
      </w:r>
    </w:p>
    <w:p>
      <w:pPr>
        <w:pStyle w:val="TextBody"/>
        <w:bidi w:val="0"/>
        <w:spacing w:before="120" w:after="283"/>
        <w:jc w:val="both"/>
        <w:rPr>
          <w:rFonts w:ascii="Outfit" w:hAnsi="Outfit"/>
          <w:color w:val="000000"/>
          <w:sz w:val="20"/>
        </w:rPr>
      </w:pPr>
      <w:r>
        <w:rPr>
          <w:rFonts w:ascii="Outfit" w:hAnsi="Outfit"/>
          <w:color w:val="000000"/>
          <w:sz w:val="20"/>
        </w:rPr>
        <w:t>c.</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2023 Compensation Discussion and Analysis peer group companies: ACI Worldwide, Inc., ACV Auctions Inc., Alarm.com Holdings, Inc., Angi Inc., Cars.com Inc., Commvault Systems, Inc., Envestnet, Inc., Everbridge, Inc., Flywire Corp., NetScout Systems, Inc., New Relic, Inc., Pegasystems Inc., Qualys, Inc., Rapid7, Inc., Redfin Corporation, Shutterstock, Inc., TripAdvisor, Inc., Upwork, Inc., Yelp Inc.</w:t>
      </w:r>
    </w:p>
    <w:p>
      <w:pPr>
        <w:pStyle w:val="TextBody"/>
        <w:bidi w:val="0"/>
        <w:spacing w:before="120" w:after="283"/>
        <w:jc w:val="both"/>
        <w:rPr>
          <w:rFonts w:ascii="Outfit" w:hAnsi="Outfit"/>
          <w:color w:val="000000"/>
          <w:sz w:val="20"/>
        </w:rPr>
      </w:pPr>
      <w:r>
        <w:rPr>
          <w:rFonts w:ascii="Outfit" w:hAnsi="Outfit"/>
          <w:color w:val="000000"/>
          <w:sz w:val="20"/>
        </w:rPr>
        <w:t>d.</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 xml:space="preserve">2022 Compensation Discussion and Analysis peer group companies: Alarm.com Holdings, Inc., Bottomline Technologies Inc., Cars.com Inc., Cerence Inc., Everbridge, Inc., EverQuote, Inc. HubSpot, Inc., </w:t>
      </w:r>
    </w:p>
    <w:p>
      <w:pPr>
        <w:pStyle w:val="TextBody"/>
        <w:bidi w:val="0"/>
        <w:jc w:val="center"/>
        <w:rPr>
          <w:rFonts w:ascii="Outfit;sans-serif" w:hAnsi="Outfit;sans-serif"/>
          <w:color w:val="000000"/>
          <w:sz w:val="22"/>
        </w:rPr>
      </w:pPr>
      <w:r>
        <w:rPr>
          <w:rFonts w:ascii="Outfit;sans-serif" w:hAnsi="Outfit;sans-serif"/>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LendingTree, Inc., New Relic, Inc., Pegasystems Inc., Qualys, Inc. Rapid7, Inc., Redfin Corporation, Shutterstock, Inc., TripAdvisor, Inc., Wayfair Inc, Yelp Inc., Yext, Inc.</w:t>
      </w:r>
    </w:p>
    <w:p>
      <w:pPr>
        <w:pStyle w:val="TextBody"/>
        <w:bidi w:val="0"/>
        <w:spacing w:before="120" w:after="283"/>
        <w:jc w:val="both"/>
        <w:rPr>
          <w:rFonts w:ascii="Outfit" w:hAnsi="Outfit"/>
          <w:color w:val="000000"/>
          <w:sz w:val="20"/>
        </w:rPr>
      </w:pPr>
      <w:r>
        <w:rPr>
          <w:rFonts w:ascii="Outfit" w:hAnsi="Outfit"/>
          <w:color w:val="000000"/>
          <w:sz w:val="20"/>
        </w:rPr>
        <w:t>e.</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2021 Compensation Discussion and Analysis peer group companies: Alarm.com Holdings, Inc., Bottomline Technologies Inc., Cars.com Inc., Etsy Inc., Everbridge, Inc., EverQuote, Inc. HubSpot, Inc., LendingTree, Inc., New Relic, Inc., Paylocity Holding Corporation, Pegasystems Inc., Qualys, Inc. Rapid7, Inc., Redfin Corporation, TripAdvisor, Inc., TrueCar, Inc. Wayfair Inc, Yelp Inc., Yext, Inc.</w:t>
      </w:r>
    </w:p>
    <w:p>
      <w:pPr>
        <w:pStyle w:val="TextBody"/>
        <w:bidi w:val="0"/>
        <w:spacing w:before="120" w:after="283"/>
        <w:jc w:val="both"/>
        <w:rPr>
          <w:rFonts w:ascii="Outfit" w:hAnsi="Outfit"/>
          <w:color w:val="000000"/>
          <w:sz w:val="20"/>
        </w:rPr>
      </w:pPr>
      <w:r>
        <w:rPr>
          <w:rFonts w:ascii="Outfit" w:hAnsi="Outfit"/>
          <w:color w:val="000000"/>
          <w:sz w:val="20"/>
        </w:rPr>
        <w:t>(6)</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Gross Profit is the financial performance measure, which, in the Company’s assessment, represents for 2025 the most important performance measure used to link compensation actually paid to our PEOs and Non-PEO NEOs to the Company’s performance.</w:t>
      </w:r>
    </w:p>
    <w:p>
      <w:pPr>
        <w:pStyle w:val="TextBody"/>
        <w:bidi w:val="0"/>
        <w:spacing w:before="120" w:after="120"/>
        <w:jc w:val="both"/>
        <w:rPr>
          <w:rFonts w:ascii="Outfit;sans-serif" w:hAnsi="Outfit;sans-serif"/>
          <w:b/>
          <w:color w:val="3465B0"/>
          <w:sz w:val="22"/>
        </w:rPr>
      </w:pPr>
      <w:r>
        <w:rPr>
          <w:rFonts w:ascii="Outfit;sans-serif" w:hAnsi="Outfit;sans-serif"/>
          <w:b/>
          <w:color w:val="3465B0"/>
          <w:sz w:val="22"/>
        </w:rPr>
        <w:t>Analysis of the Information Presented in the Pay versus Performance Table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charts below show the relationship between the CAP to our Current PEO, Former PEO, and Average CAP to our Non-PEO NEOs in 2025, 2024, 2023, 2022, and 2021 to each of (i) the Company’s cumulative Total Shareholder Return, (ii) Net Income, and (iii) Gross Profit. A chart comparing the Company’s cumulative Total Shareholder Return and the Company’s Peer Group Total Shareholder Return is also provided below.</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As described in greater detail in </w:t>
      </w:r>
      <w:r>
        <w:rPr>
          <w:rFonts w:ascii="Times New Roman" w:hAnsi="Times New Roman"/>
          <w:color w:val="000000"/>
          <w:sz w:val="20"/>
        </w:rPr>
        <w:t>“</w:t>
      </w:r>
      <w:r>
        <w:rPr>
          <w:rFonts w:ascii="Outfit;sans-serif" w:hAnsi="Outfit;sans-serif"/>
          <w:i/>
          <w:color w:val="000000"/>
          <w:sz w:val="22"/>
        </w:rPr>
        <w:t>Compensation Discussion and Analysis,”</w:t>
      </w:r>
      <w:r>
        <w:rPr>
          <w:rFonts w:ascii="Times New Roman" w:hAnsi="Times New Roman"/>
          <w:color w:val="000000"/>
          <w:sz w:val="20"/>
        </w:rPr>
        <w:t xml:space="preserve"> </w:t>
      </w:r>
      <w:r>
        <w:rPr>
          <w:rFonts w:ascii="Outfit;sans-serif" w:hAnsi="Outfit;sans-serif"/>
          <w:color w:val="000000"/>
          <w:sz w:val="22"/>
        </w:rPr>
        <w:t>the Compensation Committee’s philosophy is to provide a competitive total compensation package to our named executive officers through a combination of annual base salary, annual cash incentive award opportunities, long-term incentive compensation opportunities in the form of equity awards, and broad-based health and welfare benefit plans. The objectives of our philosophy are to attract, motivate, and retain named executive officers of outstanding ability and potential, reward the achievement of key performance measures, and ensure that executive compensation is meaningfully related to the creation of stockholder value. While the Compensation Committee utilizes several performance measures to align executive compensation with Company performance, all of those measures are not presented in the Pay versus Performance table.</w:t>
      </w:r>
      <w:r>
        <w:rPr>
          <w:rFonts w:ascii="Times New Roman" w:hAnsi="Times New Roman"/>
          <w:color w:val="000000"/>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Moreover, the Compensation Committee generally seeks to incentivize long-term performance, and therefore does not specifically align the Company’s performance measures with CAP for a particular year.</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accordance with Item 402(v) of Regulation S-K, we are providing the following charts displaying the relationships between information presented in the Pay versus Performance table.</w:t>
      </w:r>
    </w:p>
    <w:p>
      <w:pPr>
        <w:pStyle w:val="TextBody"/>
        <w:bidi w:val="0"/>
        <w:jc w:val="center"/>
        <w:rPr>
          <w:rFonts w:ascii="Outfit;sans-serif" w:hAnsi="Outfit;sans-serif"/>
          <w:color w:val="000000"/>
          <w:sz w:val="22"/>
        </w:rPr>
      </w:pPr>
      <w:r>
        <w:rPr>
          <w:rFonts w:ascii="Outfit;sans-serif" w:hAnsi="Outfit;sans-serif"/>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i/>
          <w:color w:val="000000"/>
          <w:sz w:val="22"/>
        </w:rPr>
      </w:pPr>
      <w:r>
        <w:rPr>
          <w:rFonts w:ascii="Outfit;sans-serif" w:hAnsi="Outfit;sans-serif"/>
          <w:b/>
          <w:i/>
          <w:color w:val="000000"/>
          <w:sz w:val="22"/>
        </w:rPr>
        <w:t>Description of Relationship Between Current PEO, Former PEO, and Non-PEO NEOs CAP and Company Total Shareholder Return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chart sets forth the relationship between CAP to our Current PEO, CAP to our Former PEO, the average of CAP to our Non-PEO NEOs, and the Company’s cumulative Total Shareholder Return over the five most recently completed fiscal years.</w:t>
      </w:r>
    </w:p>
    <w:p>
      <w:pPr>
        <w:pStyle w:val="TextBody"/>
        <w:bidi w:val="0"/>
        <w:spacing w:before="0" w:after="120"/>
        <w:jc w:val="center"/>
        <w:rPr/>
      </w:pPr>
      <w:r>
        <w:rPr/>
        <w:drawing>
          <wp:inline distT="0" distB="0" distL="0" distR="0">
            <wp:extent cx="5191125" cy="22764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5191125" cy="2276475"/>
                    </a:xfrm>
                    <a:prstGeom prst="rect">
                      <a:avLst/>
                    </a:prstGeom>
                  </pic:spPr>
                </pic:pic>
              </a:graphicData>
            </a:graphic>
          </wp:inline>
        </w:drawing>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Our executive compensation program emphasizes long-term incentives tied to our stock price performance. As reflected in the Pay versus Performance table and the chart above, our cumulative Total Shareholder Return fluctuated over the 2021 through 2025 period and increased overall. CAP does not always move directionally with Total Shareholder Return from year to year because, although stock price performance is a key driver of CAP, CAP is also influenced by changes in the fair value and timing of equity awards. Accordingly, we expect stock price performance to continue to have a greater impact on CAP than our other financial performance measures. For the five-year period ended December 31, 2025, our Total Shareholder Return increased 14.0%, while CAP to our Current PEO decreased 45.1% and average CAP to our Non-PEO NEOs decreased 53.7%.</w:t>
      </w:r>
    </w:p>
    <w:p>
      <w:pPr>
        <w:pStyle w:val="TextBody"/>
        <w:bidi w:val="0"/>
        <w:spacing w:before="0" w:after="120"/>
        <w:jc w:val="both"/>
        <w:rPr>
          <w:rFonts w:ascii="Outfit;sans-serif" w:hAnsi="Outfit;sans-serif"/>
          <w:b/>
          <w:i/>
          <w:color w:val="000000"/>
          <w:sz w:val="22"/>
        </w:rPr>
      </w:pPr>
      <w:r>
        <w:rPr>
          <w:rFonts w:ascii="Outfit;sans-serif" w:hAnsi="Outfit;sans-serif"/>
          <w:b/>
          <w:i/>
          <w:color w:val="000000"/>
          <w:sz w:val="22"/>
        </w:rPr>
        <w:t>Description of Relationship Between Current PEO, Former PEO, and Non-PEO NEOs CAP and Net Income</w:t>
      </w:r>
    </w:p>
    <w:p>
      <w:pPr>
        <w:pStyle w:val="TextBody"/>
        <w:bidi w:val="0"/>
        <w:spacing w:before="0" w:after="240"/>
        <w:jc w:val="both"/>
        <w:rPr>
          <w:rFonts w:ascii="Outfit;sans-serif" w:hAnsi="Outfit;sans-serif"/>
          <w:color w:val="000000"/>
          <w:sz w:val="22"/>
        </w:rPr>
      </w:pPr>
      <w:r>
        <w:rPr>
          <w:rFonts w:ascii="Outfit;sans-serif" w:hAnsi="Outfit;sans-serif"/>
          <w:color w:val="000000"/>
          <w:sz w:val="22"/>
        </w:rPr>
        <w:t>The following chart sets forth the relationship between CAP to our Current PEO, CAP to our Former PEO, the average of CAP to our Non-PEO NEOs, and our Net Income during the five most recently completed fiscal years.</w:t>
      </w:r>
    </w:p>
    <w:p>
      <w:pPr>
        <w:pStyle w:val="TextBody"/>
        <w:bidi w:val="0"/>
        <w:spacing w:before="0" w:after="120"/>
        <w:jc w:val="center"/>
        <w:rPr/>
      </w:pPr>
      <w:r>
        <w:rPr/>
        <w:drawing>
          <wp:inline distT="0" distB="0" distL="0" distR="0">
            <wp:extent cx="5238750" cy="25146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5238750" cy="2514600"/>
                    </a:xfrm>
                    <a:prstGeom prst="rect">
                      <a:avLst/>
                    </a:prstGeom>
                  </pic:spPr>
                </pic:pic>
              </a:graphicData>
            </a:graphic>
          </wp:inline>
        </w:drawing>
      </w:r>
    </w:p>
    <w:p>
      <w:pPr>
        <w:pStyle w:val="TextBody"/>
        <w:bidi w:val="0"/>
        <w:jc w:val="center"/>
        <w:rPr>
          <w:rFonts w:ascii="Outfit;sans-serif" w:hAnsi="Outfit;sans-serif"/>
          <w:color w:val="000000"/>
          <w:sz w:val="22"/>
        </w:rPr>
      </w:pPr>
      <w:r>
        <w:rPr>
          <w:rFonts w:ascii="Outfit;sans-serif" w:hAnsi="Outfit;sans-serif"/>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Aside from our stock price performance, we believe Net Income is an important financial metric linking executive compensation to Company performance. As reflected in the Pay versus Performance table and the chart above, Net Income fluctuated over the 2021 through 2025 period. CAP does not always move directionally with Net Income from year to year because executive compensation is more sensitive to changes in our stock price than to this financial metric alone. Accordingly, we expect stock price performance to continue to have a significantly greater impact on CAP than Net Income. For the five-year period ended December 31, 2025, the Company’s Net Income increased 41.3%, while CAP to our Current PEO decreased 45.1% and average CAP to our Non-PEO NEOs decreased 53.7%.</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Description of Relationship Between Current PEO, Former PEO, and Non-PEO NEOs CAP and Gross Profit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chart sets forth the relationship between CAP to our Current PEO, CAP to our Former PEO, the average of CAP to our Non-PEO NEOs, and our Gross Profit during the five most recently completed fiscal years.</w:t>
      </w:r>
    </w:p>
    <w:p>
      <w:pPr>
        <w:pStyle w:val="TextBody"/>
        <w:bidi w:val="0"/>
        <w:jc w:val="center"/>
        <w:rPr/>
      </w:pPr>
      <w:r>
        <w:rPr/>
        <w:drawing>
          <wp:inline distT="0" distB="0" distL="0" distR="0">
            <wp:extent cx="5286375" cy="22955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5286375" cy="2295525"/>
                    </a:xfrm>
                    <a:prstGeom prst="rect">
                      <a:avLst/>
                    </a:prstGeom>
                  </pic:spPr>
                </pic:pic>
              </a:graphicData>
            </a:graphic>
          </wp:inline>
        </w:drawing>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Aside from our stock price performance, we believe Gross Profit is the most important financial metric linking our executive compensation to Company performance. As reflected in the Pay versus Performance table and the chart above, Gross Profit increased over the 2021 through 2025 period, while remaining comparatively more stable year over year than CAP. CAP does not always move directionally with Gross Profit from year to year because executive compensation is more sensitive to changes in our stock price than to this financial metric alone. Accordingly, we expect stock price performance to continue to have a significantly greater impact on CAP than Gross Profit. For the five-year period ended December 31, 2025, the Company’s Gross Profit increased 28.0%, while CAP to our Current PEO decreased 45.1% and average CAP to our Non-PEO NEOs decreased 53.7%.</w:t>
      </w:r>
    </w:p>
    <w:p>
      <w:pPr>
        <w:pStyle w:val="TextBody"/>
        <w:bidi w:val="0"/>
        <w:jc w:val="center"/>
        <w:rPr>
          <w:rFonts w:ascii="Outfit;sans-serif" w:hAnsi="Outfit;sans-serif"/>
          <w:color w:val="000000"/>
          <w:sz w:val="22"/>
        </w:rPr>
      </w:pPr>
      <w:r>
        <w:rPr>
          <w:rFonts w:ascii="Outfit;sans-serif" w:hAnsi="Outfit;sans-serif"/>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283"/>
              <w:jc w:val="left"/>
              <w:rPr>
                <w:sz w:val="4"/>
                <w:szCs w:val="4"/>
              </w:rPr>
            </w:pPr>
            <w:r>
              <w:rPr>
                <w:sz w:val="4"/>
                <w:szCs w:val="4"/>
              </w:rPr>
            </w:r>
          </w:p>
        </w:tc>
      </w:tr>
      <w:tr>
        <w:trPr/>
        <w:tc>
          <w:tcPr>
            <w:tcW w:w="831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Executive Compensation Matters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Description of Relationship Between Company Total Shareholder Return and Peer Group Total Shareholder Return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chart compares our cumulative Total Shareholder Return over the five most recently completed fiscal years to that of our peer group total shareholder return over the same period.</w:t>
      </w:r>
    </w:p>
    <w:p>
      <w:pPr>
        <w:pStyle w:val="TextBody"/>
        <w:bidi w:val="0"/>
        <w:jc w:val="center"/>
        <w:rPr/>
      </w:pPr>
      <w:r>
        <w:rPr/>
        <w:drawing>
          <wp:inline distT="0" distB="0" distL="0" distR="0">
            <wp:extent cx="6191250" cy="16383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6191250" cy="1638300"/>
                    </a:xfrm>
                    <a:prstGeom prst="rect">
                      <a:avLst/>
                    </a:prstGeom>
                  </pic:spPr>
                </pic:pic>
              </a:graphicData>
            </a:graphic>
          </wp:inline>
        </w:drawing>
      </w:r>
    </w:p>
    <w:p>
      <w:pPr>
        <w:pStyle w:val="TextBody"/>
        <w:bidi w:val="0"/>
        <w:spacing w:before="120" w:after="120"/>
        <w:jc w:val="both"/>
        <w:rPr>
          <w:rFonts w:ascii="Outfit" w:hAnsi="Outfit"/>
          <w:color w:val="000000"/>
          <w:sz w:val="20"/>
        </w:rPr>
      </w:pPr>
      <w:r>
        <w:rPr>
          <w:rFonts w:ascii="Outfit" w:hAnsi="Outfit"/>
          <w:color w:val="000000"/>
          <w:sz w:val="20"/>
        </w:rPr>
        <w:t>(1)</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Represents values based on an initial fixed $100 investment made on December 31, 2020.</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For the five-year period ended December 31, 2025, based on a fixed $100 investment made on December 31, 2020, the Total Shareholder Return for the Company’s peer group disclosed in the chart above decreased by 48.7%, compared to the Company’s Total Shareholder Return, which increased 20.9% over the same period.</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Tabular List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presents an unranked list of the financial and non-financial performance measures, including the Company-Selected Measure.</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pBdr>
                <w:bottom w:val="single" w:sz="12" w:space="1" w:color="3465B0"/>
              </w:pBdr>
              <w:bidi w:val="0"/>
              <w:spacing w:before="0" w:after="283"/>
              <w:jc w:val="center"/>
              <w:rPr>
                <w:rFonts w:ascii="Outfit;sans-serif" w:hAnsi="Outfit;sans-serif"/>
                <w:b/>
                <w:color w:val="000000"/>
                <w:sz w:val="22"/>
              </w:rPr>
            </w:pPr>
            <w:r>
              <w:rPr>
                <w:rFonts w:ascii="Outfit;sans-serif" w:hAnsi="Outfit;sans-serif"/>
                <w:b/>
                <w:color w:val="000000"/>
                <w:sz w:val="22"/>
              </w:rPr>
              <w:t>Tabular List</w:t>
            </w:r>
          </w:p>
        </w:tc>
      </w:tr>
      <w:tr>
        <w:trPr/>
        <w:tc>
          <w:tcPr>
            <w:tcW w:w="546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Gross Profit*</w:t>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Adjusted EBITDA from continuing operations**</w:t>
            </w:r>
          </w:p>
        </w:tc>
      </w:tr>
      <w:tr>
        <w:trPr/>
        <w:tc>
          <w:tcPr>
            <w:tcW w:w="5461" w:type="dxa"/>
            <w:tcBorders/>
            <w:shd w:fill="D9E1EB"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Strategic Objectives</w:t>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2"/>
              </w:rPr>
            </w:pPr>
            <w:r>
              <w:rPr>
                <w:rFonts w:ascii="Outfit;sans-serif" w:hAnsi="Outfit;sans-serif"/>
                <w:color w:val="000000"/>
                <w:sz w:val="22"/>
              </w:rPr>
              <w:t>Individual Performance Goals</w:t>
            </w:r>
          </w:p>
        </w:tc>
      </w:tr>
    </w:tbl>
    <w:p>
      <w:pPr>
        <w:pStyle w:val="TextBody"/>
        <w:bidi w:val="0"/>
        <w:spacing w:before="120" w:after="120"/>
        <w:jc w:val="both"/>
        <w:rPr>
          <w:rFonts w:ascii="Outfit;sans-serif" w:hAnsi="Outfit;sans-serif"/>
          <w:color w:val="000000"/>
          <w:sz w:val="22"/>
        </w:rPr>
      </w:pPr>
      <w:r>
        <w:rPr>
          <w:rFonts w:ascii="Outfit;sans-serif" w:hAnsi="Outfit;sans-serif"/>
          <w:color w:val="000000"/>
          <w:sz w:val="22"/>
        </w:rPr>
        <w:t>*Gross Profit for fiscal years 2025, 2024, and 2023 relates to the Company’s continuing operations and does not include the results of discontinued operations.</w:t>
      </w:r>
    </w:p>
    <w:p>
      <w:pPr>
        <w:pStyle w:val="TextBody"/>
        <w:bidi w:val="0"/>
        <w:spacing w:before="0" w:after="120"/>
        <w:jc w:val="both"/>
        <w:rPr>
          <w:rFonts w:ascii="Times New Roman" w:hAnsi="Times New Roman"/>
          <w:sz w:val="20"/>
        </w:rPr>
      </w:pPr>
      <w:r>
        <w:rPr>
          <w:rFonts w:ascii="Outfit;sans-serif" w:hAnsi="Outfit;sans-serif"/>
          <w:color w:val="000000"/>
          <w:sz w:val="22"/>
        </w:rPr>
        <w:t>**Adjusted EBITDA from continuing operations is a non-GAAP financial measure. We calculate adjusted EBITDA from continuing operations as GAAP net income from continuing operations, adjusted to exclude: depreciation and amortization, stock</w:t>
      </w:r>
      <w:r>
        <w:rPr>
          <w:rFonts w:ascii="Times New Roman" w:hAnsi="Times New Roman"/>
          <w:color w:val="000000"/>
          <w:sz w:val="20"/>
        </w:rPr>
        <w:noBreakHyphen/>
      </w:r>
      <w:r>
        <w:rPr>
          <w:rFonts w:ascii="Outfit;sans-serif" w:hAnsi="Outfit;sans-serif"/>
          <w:color w:val="000000"/>
          <w:sz w:val="22"/>
        </w:rPr>
        <w:t>based compensation expense, transaction-related expenses, impairments, other income, net, and provision for income taxes.</w:t>
      </w:r>
    </w:p>
    <w:p>
      <w:pPr>
        <w:pStyle w:val="TextBody"/>
        <w:bidi w:val="0"/>
        <w:jc w:val="center"/>
        <w:rPr>
          <w:rFonts w:ascii="Outfit;sans-serif" w:hAnsi="Outfit;sans-serif"/>
          <w:color w:val="000000"/>
          <w:sz w:val="22"/>
        </w:rPr>
      </w:pPr>
      <w:r>
        <w:rPr>
          <w:rFonts w:ascii="Outfit;sans-serif" w:hAnsi="Outfit;sans-serif"/>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Security Ownership of Certain Beneficial Owners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1"/>
        </w:rPr>
      </w:pPr>
      <w:bookmarkStart w:id="26" w:name="security_ownership"/>
      <w:bookmarkEnd w:id="26"/>
      <w:r>
        <w:rPr>
          <w:rFonts w:ascii="Outfit;sans-serif" w:hAnsi="Outfit;sans-serif"/>
          <w:color w:val="000000"/>
          <w:sz w:val="21"/>
        </w:rPr>
        <w:t>The following table sets forth certain information as of April 10, 2026, with respect to the beneficial ownership of our common stock by:</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1"/>
        </w:rPr>
      </w:pPr>
      <w:r>
        <w:rPr>
          <w:rFonts w:ascii="Outfit;sans-serif" w:hAnsi="Outfit;sans-serif"/>
          <w:color w:val="000000"/>
          <w:sz w:val="21"/>
        </w:rPr>
        <w:t>each of our named executive officers;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1"/>
        </w:rPr>
      </w:pPr>
      <w:r>
        <w:rPr>
          <w:rFonts w:ascii="Outfit;sans-serif" w:hAnsi="Outfit;sans-serif"/>
          <w:color w:val="000000"/>
          <w:sz w:val="21"/>
        </w:rPr>
        <w:t>each of our directors and director nominees;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1"/>
        </w:rPr>
      </w:pPr>
      <w:r>
        <w:rPr>
          <w:rFonts w:ascii="Outfit;sans-serif" w:hAnsi="Outfit;sans-serif"/>
          <w:color w:val="000000"/>
          <w:sz w:val="21"/>
        </w:rPr>
        <w:t>all of our directors, director nominees, and executive officers as a group; and</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1"/>
        </w:rPr>
      </w:pPr>
      <w:r>
        <w:rPr>
          <w:rFonts w:ascii="Outfit;sans-serif" w:hAnsi="Outfit;sans-serif"/>
          <w:color w:val="000000"/>
          <w:sz w:val="21"/>
        </w:rPr>
        <w:t>each person or group of affiliated persons we believe to beneficially own 5% or more of the outstanding shares of our common stock.</w:t>
      </w:r>
    </w:p>
    <w:p>
      <w:pPr>
        <w:pStyle w:val="TextBody"/>
        <w:bidi w:val="0"/>
        <w:spacing w:before="0" w:after="120"/>
        <w:jc w:val="both"/>
        <w:rPr>
          <w:rFonts w:ascii="Outfit;sans-serif" w:hAnsi="Outfit;sans-serif"/>
          <w:color w:val="000000"/>
          <w:sz w:val="21"/>
        </w:rPr>
      </w:pPr>
      <w:r>
        <w:rPr>
          <w:rFonts w:ascii="Outfit;sans-serif" w:hAnsi="Outfit;sans-serif"/>
          <w:color w:val="000000"/>
          <w:sz w:val="21"/>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 subject to community property laws where applicable. In computing the number of shares of our Class A common stock and Class B common stock beneficially owned by a person and the percentage ownership of that person, we deemed outstanding shares of our Class A common stock and Class B common stock subject to options or RSUs held by that person that are currently exercisable, exercisable within 60 days after April 10, 2026, or vested and will settle within 60 days after April 10, 2026. We did not deem these shares outstanding, however, for the purpose of computing the percentage ownership of any other person.</w:t>
      </w:r>
    </w:p>
    <w:p>
      <w:pPr>
        <w:pStyle w:val="TextBody"/>
        <w:bidi w:val="0"/>
        <w:spacing w:before="0" w:after="120"/>
        <w:jc w:val="both"/>
        <w:rPr>
          <w:rFonts w:ascii="Times New Roman" w:hAnsi="Times New Roman"/>
          <w:sz w:val="20"/>
        </w:rPr>
      </w:pPr>
      <w:r>
        <w:rPr>
          <w:rFonts w:ascii="Outfit;sans-serif" w:hAnsi="Outfit;sans-serif"/>
          <w:color w:val="000000"/>
          <w:sz w:val="21"/>
        </w:rPr>
        <w:t>We have based our calculation of the percentage ownership of our Class A common stock and Class B common stock on 75,970,602</w:t>
      </w:r>
      <w:r>
        <w:rPr>
          <w:rFonts w:ascii="Times New Roman" w:hAnsi="Times New Roman"/>
          <w:color w:val="000000"/>
          <w:sz w:val="20"/>
        </w:rPr>
        <w:t xml:space="preserve"> </w:t>
      </w:r>
      <w:r>
        <w:rPr>
          <w:rFonts w:ascii="Outfit;sans-serif" w:hAnsi="Outfit;sans-serif"/>
          <w:color w:val="000000"/>
          <w:sz w:val="21"/>
        </w:rPr>
        <w:t>shares of our Class A common stock outstanding and 14,216,250 shares of our Class B common stock outstanding, in each case, as of April 10, 2026.</w:t>
      </w:r>
    </w:p>
    <w:p>
      <w:pPr>
        <w:pStyle w:val="TextBody"/>
        <w:bidi w:val="0"/>
        <w:spacing w:before="0" w:after="120"/>
        <w:jc w:val="both"/>
        <w:rPr>
          <w:rFonts w:ascii="Outfit;sans-serif" w:hAnsi="Outfit;sans-serif"/>
          <w:color w:val="000000"/>
          <w:sz w:val="21"/>
        </w:rPr>
      </w:pPr>
      <w:r>
        <w:rPr>
          <w:rFonts w:ascii="Outfit;sans-serif" w:hAnsi="Outfit;sans-serif"/>
          <w:color w:val="000000"/>
          <w:sz w:val="21"/>
        </w:rPr>
        <w:t>This table is based upon information supplied by executive officers, directors, and stockholders we believe to be beneficial owners of more than 5% of our common stock as well as Schedules 13G or 13D and amendments thereto filed by or on behalf of such stockholder with the SEC.</w:t>
      </w:r>
    </w:p>
    <w:p>
      <w:pPr>
        <w:pStyle w:val="TextBody"/>
        <w:bidi w:val="0"/>
        <w:spacing w:before="0" w:after="120"/>
        <w:jc w:val="both"/>
        <w:rPr>
          <w:rFonts w:ascii="Times New Roman" w:hAnsi="Times New Roman"/>
          <w:sz w:val="20"/>
        </w:rPr>
      </w:pPr>
      <w:r>
        <w:rPr>
          <w:rFonts w:ascii="Outfit;sans-serif" w:hAnsi="Outfit;sans-serif"/>
          <w:color w:val="000000"/>
          <w:sz w:val="21"/>
        </w:rPr>
        <w:t>Unless otherwise indicated, the address of each beneficial owner listed on the table below is c/o CarGurus, Inc., 1001 Boylston Street, 16</w:t>
      </w:r>
      <w:r>
        <w:rPr>
          <w:rFonts w:ascii="Outfit;sans-serif" w:hAnsi="Outfit;sans-serif"/>
          <w:color w:val="000000"/>
          <w:sz w:val="14"/>
        </w:rPr>
        <w:t>th</w:t>
      </w:r>
      <w:r>
        <w:rPr>
          <w:rFonts w:ascii="Times New Roman" w:hAnsi="Times New Roman"/>
          <w:color w:val="000000"/>
          <w:sz w:val="20"/>
        </w:rPr>
        <w:t xml:space="preserve"> </w:t>
      </w:r>
      <w:r>
        <w:rPr>
          <w:rFonts w:ascii="Outfit;sans-serif" w:hAnsi="Outfit;sans-serif"/>
          <w:color w:val="000000"/>
          <w:sz w:val="21"/>
        </w:rPr>
        <w:t>Floor, Boston, Massachusetts 02115.</w:t>
      </w:r>
    </w:p>
    <w:tbl>
      <w:tblPr>
        <w:tblW w:w="10205" w:type="dxa"/>
        <w:jc w:val="left"/>
        <w:tblInd w:w="0" w:type="dxa"/>
        <w:tblLayout w:type="fixed"/>
        <w:tblCellMar>
          <w:top w:w="28" w:type="dxa"/>
          <w:left w:w="28" w:type="dxa"/>
          <w:bottom w:w="28" w:type="dxa"/>
          <w:right w:w="28" w:type="dxa"/>
        </w:tblCellMar>
      </w:tblPr>
      <w:tblGrid>
        <w:gridCol w:w="4608"/>
        <w:gridCol w:w="1587"/>
        <w:gridCol w:w="628"/>
        <w:gridCol w:w="1493"/>
        <w:gridCol w:w="568"/>
        <w:gridCol w:w="887"/>
        <w:gridCol w:w="434"/>
      </w:tblGrid>
      <w:tr>
        <w:trPr/>
        <w:tc>
          <w:tcPr>
            <w:tcW w:w="4608" w:type="dxa"/>
            <w:tcBorders/>
            <w:shd w:fill="FFFFFF" w:val="clear"/>
            <w:vAlign w:val="center"/>
          </w:tcPr>
          <w:p>
            <w:pPr>
              <w:pStyle w:val="TableContents"/>
              <w:bidi w:val="0"/>
              <w:spacing w:before="0" w:after="283"/>
              <w:jc w:val="left"/>
              <w:rPr>
                <w:sz w:val="4"/>
                <w:szCs w:val="4"/>
              </w:rPr>
            </w:pPr>
            <w:r>
              <w:rPr>
                <w:sz w:val="4"/>
                <w:szCs w:val="4"/>
              </w:rPr>
            </w:r>
          </w:p>
        </w:tc>
        <w:tc>
          <w:tcPr>
            <w:tcW w:w="1587"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shd w:fill="FFFFFF" w:val="clear"/>
            <w:vAlign w:val="center"/>
          </w:tcPr>
          <w:p>
            <w:pPr>
              <w:pStyle w:val="TableContents"/>
              <w:bidi w:val="0"/>
              <w:spacing w:before="0" w:after="283"/>
              <w:jc w:val="left"/>
              <w:rPr>
                <w:sz w:val="4"/>
                <w:szCs w:val="4"/>
              </w:rPr>
            </w:pPr>
            <w:r>
              <w:rPr>
                <w:sz w:val="4"/>
                <w:szCs w:val="4"/>
              </w:rPr>
            </w:r>
          </w:p>
        </w:tc>
        <w:tc>
          <w:tcPr>
            <w:tcW w:w="1493" w:type="dxa"/>
            <w:tcBorders/>
            <w:shd w:fill="FFFFFF" w:val="clear"/>
            <w:vAlign w:val="center"/>
          </w:tcPr>
          <w:p>
            <w:pPr>
              <w:pStyle w:val="TableContents"/>
              <w:bidi w:val="0"/>
              <w:spacing w:before="0" w:after="283"/>
              <w:jc w:val="left"/>
              <w:rPr>
                <w:sz w:val="4"/>
                <w:szCs w:val="4"/>
              </w:rPr>
            </w:pPr>
            <w:r>
              <w:rPr>
                <w:sz w:val="4"/>
                <w:szCs w:val="4"/>
              </w:rPr>
            </w:r>
          </w:p>
        </w:tc>
        <w:tc>
          <w:tcPr>
            <w:tcW w:w="568" w:type="dxa"/>
            <w:tcBorders/>
            <w:shd w:fill="FFFFFF" w:val="clear"/>
            <w:vAlign w:val="center"/>
          </w:tcPr>
          <w:p>
            <w:pPr>
              <w:pStyle w:val="TableContents"/>
              <w:bidi w:val="0"/>
              <w:spacing w:before="0" w:after="283"/>
              <w:jc w:val="left"/>
              <w:rPr>
                <w:sz w:val="4"/>
                <w:szCs w:val="4"/>
              </w:rPr>
            </w:pPr>
            <w:r>
              <w:rPr>
                <w:sz w:val="4"/>
                <w:szCs w:val="4"/>
              </w:rPr>
            </w:r>
          </w:p>
        </w:tc>
        <w:tc>
          <w:tcPr>
            <w:tcW w:w="887" w:type="dxa"/>
            <w:tcBorders/>
            <w:shd w:fill="FFFFFF" w:val="clear"/>
            <w:vAlign w:val="center"/>
          </w:tcPr>
          <w:p>
            <w:pPr>
              <w:pStyle w:val="TableContents"/>
              <w:bidi w:val="0"/>
              <w:spacing w:before="0" w:after="283"/>
              <w:jc w:val="left"/>
              <w:rPr>
                <w:sz w:val="4"/>
                <w:szCs w:val="4"/>
              </w:rPr>
            </w:pPr>
            <w:r>
              <w:rPr>
                <w:sz w:val="4"/>
                <w:szCs w:val="4"/>
              </w:rPr>
            </w:r>
          </w:p>
        </w:tc>
        <w:tc>
          <w:tcPr>
            <w:tcW w:w="434" w:type="dxa"/>
            <w:tcBorders/>
            <w:shd w:fill="FFFFFF"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 xml:space="preserve">Class A </w:t>
              <w:br/>
              <w:t>Common Stock</w:t>
            </w:r>
          </w:p>
        </w:tc>
        <w:tc>
          <w:tcPr>
            <w:tcW w:w="2061" w:type="dxa"/>
            <w:gridSpan w:val="2"/>
            <w:tcBorders>
              <w:bottom w:val="single" w:sz="8" w:space="0" w:color="8DB3E2"/>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b/>
                <w:color w:val="3465B0"/>
                <w:sz w:val="20"/>
              </w:rPr>
              <w:t>Class B</w:t>
              <w:br/>
              <w:t>Common Stock</w:t>
            </w:r>
            <w:r>
              <w:rPr>
                <w:rFonts w:ascii="Times New Roman" w:hAnsi="Times New Roman"/>
                <w:color w:val="3465B0"/>
                <w:sz w:val="20"/>
              </w:rPr>
              <w:t xml:space="preserve"> </w:t>
            </w:r>
          </w:p>
        </w:tc>
        <w:tc>
          <w:tcPr>
            <w:tcW w:w="887" w:type="dxa"/>
            <w:vMerge w:val="restart"/>
            <w:tcBorders>
              <w:bottom w:val="single" w:sz="8" w:space="0" w:color="8DB3E2"/>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b/>
                <w:color w:val="3465B0"/>
                <w:sz w:val="20"/>
              </w:rPr>
              <w:t>Voting</w:t>
              <w:br/>
              <w:t>%</w:t>
            </w:r>
            <w:r>
              <w:rPr>
                <w:rFonts w:ascii="Outfit;sans-serif" w:hAnsi="Outfit;sans-serif"/>
                <w:b/>
                <w:color w:val="3465B0"/>
                <w:sz w:val="13"/>
              </w:rPr>
              <w:t>(1)</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0"/>
              </w:rPr>
            </w:pPr>
            <w:r>
              <w:rPr>
                <w:rFonts w:ascii="Outfit;sans-serif" w:hAnsi="Outfit;sans-serif"/>
                <w:b/>
                <w:color w:val="3465B0"/>
                <w:sz w:val="20"/>
              </w:rPr>
              <w:t>Name and Address of Beneficial Owners</w:t>
            </w:r>
          </w:p>
        </w:tc>
        <w:tc>
          <w:tcPr>
            <w:tcW w:w="1587"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b/>
                <w:color w:val="3465B0"/>
                <w:sz w:val="20"/>
              </w:rPr>
              <w:t>Shares Owned</w:t>
            </w:r>
            <w:r>
              <w:rPr>
                <w:rFonts w:ascii="Outfit;sans-serif" w:hAnsi="Outfit;sans-serif"/>
                <w:b/>
                <w:color w:val="3465B0"/>
                <w:sz w:val="13"/>
              </w:rPr>
              <w:t>(1)</w:t>
            </w:r>
          </w:p>
        </w:tc>
        <w:tc>
          <w:tcPr>
            <w:tcW w:w="628"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b/>
                <w:color w:val="3465B0"/>
                <w:sz w:val="20"/>
              </w:rPr>
              <w:t>%</w:t>
            </w:r>
            <w:r>
              <w:rPr>
                <w:rFonts w:ascii="Times New Roman" w:hAnsi="Times New Roman"/>
                <w:color w:val="3465B0"/>
                <w:sz w:val="20"/>
              </w:rPr>
              <w:t xml:space="preserve"> </w:t>
            </w:r>
          </w:p>
        </w:tc>
        <w:tc>
          <w:tcPr>
            <w:tcW w:w="1493"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Shares Owned</w:t>
            </w:r>
          </w:p>
        </w:tc>
        <w:tc>
          <w:tcPr>
            <w:tcW w:w="568"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b/>
                <w:color w:val="3465B0"/>
                <w:sz w:val="20"/>
              </w:rPr>
              <w:t>%</w:t>
            </w:r>
            <w:r>
              <w:rPr>
                <w:rFonts w:ascii="Times New Roman" w:hAnsi="Times New Roman"/>
                <w:color w:val="3465B0"/>
                <w:sz w:val="20"/>
              </w:rPr>
              <w:t xml:space="preserve"> </w:t>
            </w:r>
          </w:p>
        </w:tc>
        <w:tc>
          <w:tcPr>
            <w:tcW w:w="887" w:type="dxa"/>
            <w:vMerge w:val="continue"/>
            <w:tcBorders>
              <w:bottom w:val="single" w:sz="8" w:space="0" w:color="8DB3E2"/>
            </w:tcBorders>
            <w:tcMar>
              <w:top w:w="0" w:type="dxa"/>
              <w:left w:w="0" w:type="dxa"/>
              <w:right w:w="0" w:type="dxa"/>
            </w:tcMar>
            <w:vAlign w:val="center"/>
          </w:tcPr>
          <w:p>
            <w:pPr>
              <w:pStyle w:val="Normal"/>
              <w:bidi w:val="0"/>
              <w:jc w:val="left"/>
              <w:rPr/>
            </w:pPr>
            <w:r>
              <w:rPr/>
            </w:r>
          </w:p>
        </w:tc>
        <w:tc>
          <w:tcPr>
            <w:tcW w:w="434"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b/>
                <w:i/>
                <w:color w:val="000000"/>
                <w:sz w:val="20"/>
              </w:rPr>
            </w:pPr>
            <w:r>
              <w:rPr>
                <w:rFonts w:ascii="Outfit;sans-serif" w:hAnsi="Outfit;sans-serif"/>
                <w:b/>
                <w:i/>
                <w:color w:val="000000"/>
                <w:sz w:val="20"/>
              </w:rPr>
              <w:t>Named Executive Officers and Directors:</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34" w:type="dxa"/>
            <w:tcBorders/>
            <w:shd w:fill="FFFFFF" w:val="clear"/>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Jason Trevisan</w:t>
            </w:r>
            <w:r>
              <w:rPr>
                <w:rFonts w:ascii="Outfit;sans-serif" w:hAnsi="Outfit;sans-serif"/>
                <w:color w:val="000000"/>
                <w:sz w:val="13"/>
              </w:rPr>
              <w:t>(2)</w:t>
            </w:r>
            <w:r>
              <w:rPr>
                <w:rFonts w:ascii="Times New Roman" w:hAnsi="Times New Roman"/>
                <w:color w:val="000000"/>
                <w:sz w:val="20"/>
              </w:rPr>
              <w:t xml:space="preserve"> </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909,607</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0"/>
              </w:rPr>
            </w:pPr>
            <w:r>
              <w:rPr>
                <w:rFonts w:ascii="Outfit;sans-serif" w:hAnsi="Outfit;sans-serif"/>
                <w:color w:val="000000"/>
                <w:sz w:val="20"/>
              </w:rPr>
              <w:t>Elisa Palazzo</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15,893</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shd w:fill="FFFFFF" w:val="clear"/>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Langley Steinert</w:t>
            </w:r>
            <w:r>
              <w:rPr>
                <w:rFonts w:ascii="Outfit;sans-serif" w:hAnsi="Outfit;sans-serif"/>
                <w:color w:val="000000"/>
                <w:sz w:val="13"/>
              </w:rPr>
              <w:t>(3)</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362,120</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14,215,082</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65.3%</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Matthew Quinn</w:t>
            </w:r>
            <w:r>
              <w:rPr>
                <w:rFonts w:ascii="Outfit;sans-serif" w:hAnsi="Outfit;sans-serif"/>
                <w:color w:val="000000"/>
                <w:sz w:val="13"/>
              </w:rPr>
              <w:t>(4)</w:t>
            </w:r>
          </w:p>
        </w:tc>
        <w:tc>
          <w:tcPr>
            <w:tcW w:w="1587"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125,867</w:t>
            </w:r>
          </w:p>
        </w:tc>
        <w:tc>
          <w:tcPr>
            <w:tcW w:w="628"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0"/>
              </w:rPr>
            </w:pPr>
            <w:r>
              <w:rPr>
                <w:rFonts w:ascii="Outfit;sans-serif" w:hAnsi="Outfit;sans-serif"/>
                <w:color w:val="000000"/>
                <w:sz w:val="20"/>
              </w:rPr>
              <w:t>Samuel Zales</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233,393</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Steven Conine</w:t>
            </w:r>
            <w:r>
              <w:rPr>
                <w:rFonts w:ascii="Outfit;sans-serif" w:hAnsi="Outfit;sans-serif"/>
                <w:color w:val="000000"/>
                <w:sz w:val="13"/>
              </w:rPr>
              <w:t>(5)</w:t>
            </w:r>
          </w:p>
        </w:tc>
        <w:tc>
          <w:tcPr>
            <w:tcW w:w="1587"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53,050</w:t>
            </w:r>
          </w:p>
        </w:tc>
        <w:tc>
          <w:tcPr>
            <w:tcW w:w="628"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Manik Gupta</w:t>
            </w:r>
            <w:r>
              <w:rPr>
                <w:rFonts w:ascii="Outfit;sans-serif" w:hAnsi="Outfit;sans-serif"/>
                <w:color w:val="000000"/>
                <w:sz w:val="13"/>
              </w:rPr>
              <w:t>(6)</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16,798</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Lori Hickok</w:t>
            </w:r>
            <w:r>
              <w:rPr>
                <w:rFonts w:ascii="Outfit;sans-serif" w:hAnsi="Outfit;sans-serif"/>
                <w:color w:val="000000"/>
                <w:sz w:val="13"/>
              </w:rPr>
              <w:t>(7)</w:t>
            </w:r>
          </w:p>
        </w:tc>
        <w:tc>
          <w:tcPr>
            <w:tcW w:w="1587"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46,915</w:t>
            </w:r>
          </w:p>
        </w:tc>
        <w:tc>
          <w:tcPr>
            <w:tcW w:w="628"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Stephen Kaufer</w:t>
            </w:r>
            <w:r>
              <w:rPr>
                <w:rFonts w:ascii="Outfit;sans-serif" w:hAnsi="Outfit;sans-serif"/>
                <w:color w:val="000000"/>
                <w:sz w:val="13"/>
              </w:rPr>
              <w:t>(8)</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323,939</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Greg Schwartz</w:t>
            </w:r>
            <w:r>
              <w:rPr>
                <w:rFonts w:ascii="Outfit;sans-serif" w:hAnsi="Outfit;sans-serif"/>
                <w:color w:val="000000"/>
                <w:sz w:val="13"/>
              </w:rPr>
              <w:t>(9)</w:t>
            </w:r>
          </w:p>
        </w:tc>
        <w:tc>
          <w:tcPr>
            <w:tcW w:w="1587"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11,377</w:t>
            </w:r>
          </w:p>
        </w:tc>
        <w:tc>
          <w:tcPr>
            <w:tcW w:w="628"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w:t>
            </w:r>
          </w:p>
        </w:tc>
        <w:tc>
          <w:tcPr>
            <w:tcW w:w="149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0"/>
              </w:rPr>
            </w:pPr>
            <w:r>
              <w:rPr>
                <w:rFonts w:ascii="Outfit;sans-serif" w:hAnsi="Outfit;sans-serif"/>
                <w:color w:val="000000"/>
                <w:sz w:val="20"/>
              </w:rPr>
              <w:t>All current executive officers and directors as a group (13 persons)</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2,186,390</w:t>
            </w:r>
            <w:r>
              <w:rPr>
                <w:rFonts w:ascii="Outfit;sans-serif" w:hAnsi="Outfit;sans-serif"/>
                <w:color w:val="000000"/>
                <w:sz w:val="13"/>
              </w:rPr>
              <w:t>(10)</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14,215,082</w:t>
            </w:r>
            <w:r>
              <w:rPr>
                <w:rFonts w:ascii="Outfit;sans-serif" w:hAnsi="Outfit;sans-serif"/>
                <w:color w:val="000000"/>
                <w:sz w:val="13"/>
              </w:rPr>
              <w:t>(11)</w:t>
            </w:r>
            <w:r>
              <w:rPr>
                <w:rFonts w:ascii="Times New Roman" w:hAnsi="Times New Roman"/>
                <w:color w:val="000000"/>
                <w:sz w:val="20"/>
              </w:rPr>
              <w:t xml:space="preserve"> </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66.0%</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b/>
                <w:i/>
                <w:color w:val="000000"/>
                <w:sz w:val="20"/>
              </w:rPr>
            </w:pPr>
            <w:r>
              <w:rPr>
                <w:rFonts w:ascii="Outfit;sans-serif" w:hAnsi="Outfit;sans-serif"/>
                <w:b/>
                <w:i/>
                <w:color w:val="000000"/>
                <w:sz w:val="20"/>
              </w:rPr>
              <w:t>5% Stockholders:</w:t>
            </w:r>
          </w:p>
        </w:tc>
        <w:tc>
          <w:tcPr>
            <w:tcW w:w="1587" w:type="dxa"/>
            <w:tcBorders/>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93" w:type="dxa"/>
            <w:tcBorders/>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7"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BlackRock, Inc.</w:t>
            </w:r>
            <w:r>
              <w:rPr>
                <w:rFonts w:ascii="Outfit;sans-serif" w:hAnsi="Outfit;sans-serif"/>
                <w:color w:val="000000"/>
                <w:sz w:val="13"/>
              </w:rPr>
              <w:t>(12)</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12,118,579</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16.0%</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5.6%</w:t>
            </w:r>
          </w:p>
        </w:tc>
        <w:tc>
          <w:tcPr>
            <w:tcW w:w="434" w:type="dxa"/>
            <w:tcBorders/>
            <w:shd w:fill="D9E1EB" w:val="clear"/>
          </w:tcPr>
          <w:p>
            <w:pPr>
              <w:pStyle w:val="TableContents"/>
              <w:bidi w:val="0"/>
              <w:spacing w:before="0" w:after="283"/>
              <w:jc w:val="left"/>
              <w:rPr>
                <w:sz w:val="4"/>
                <w:szCs w:val="4"/>
              </w:rPr>
            </w:pPr>
            <w:r>
              <w:rPr>
                <w:sz w:val="4"/>
                <w:szCs w:val="4"/>
              </w:rPr>
            </w:r>
          </w:p>
        </w:tc>
      </w:tr>
      <w:tr>
        <w:trPr/>
        <w:tc>
          <w:tcPr>
            <w:tcW w:w="460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The Vanguard Group, Inc.</w:t>
            </w:r>
            <w:r>
              <w:rPr>
                <w:rFonts w:ascii="Outfit;sans-serif" w:hAnsi="Outfit;sans-serif"/>
                <w:color w:val="000000"/>
                <w:sz w:val="13"/>
              </w:rPr>
              <w:t>(13)</w:t>
            </w:r>
          </w:p>
        </w:tc>
        <w:tc>
          <w:tcPr>
            <w:tcW w:w="1587"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10,091,294</w:t>
            </w:r>
          </w:p>
        </w:tc>
        <w:tc>
          <w:tcPr>
            <w:tcW w:w="628" w:type="dxa"/>
            <w:tcBorders/>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w:t>
            </w:r>
          </w:p>
        </w:tc>
        <w:tc>
          <w:tcPr>
            <w:tcW w:w="1493"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tcMar>
              <w:top w:w="0" w:type="dxa"/>
              <w:left w:w="0" w:type="dxa"/>
              <w:bottom w:w="0" w:type="dxa"/>
              <w:right w:w="0" w:type="dxa"/>
            </w:tcMar>
            <w:vAlign w:val="center"/>
          </w:tcPr>
          <w:p>
            <w:pPr>
              <w:pStyle w:val="TableContents"/>
              <w:bidi w:val="0"/>
              <w:spacing w:before="0" w:after="283"/>
              <w:ind w:left="0" w:right="0" w:firstLine="240"/>
              <w:jc w:val="right"/>
              <w:rPr>
                <w:rFonts w:ascii="Outfit;sans-serif" w:hAnsi="Outfit;sans-serif"/>
                <w:color w:val="000000"/>
                <w:sz w:val="20"/>
              </w:rPr>
            </w:pPr>
            <w:r>
              <w:rPr>
                <w:rFonts w:ascii="Outfit;sans-serif" w:hAnsi="Outfit;sans-serif"/>
                <w:color w:val="000000"/>
                <w:sz w:val="20"/>
              </w:rPr>
              <w:t>4.6%</w:t>
            </w:r>
          </w:p>
        </w:tc>
        <w:tc>
          <w:tcPr>
            <w:tcW w:w="434" w:type="dxa"/>
            <w:tcBorders/>
          </w:tcPr>
          <w:p>
            <w:pPr>
              <w:pStyle w:val="TableContents"/>
              <w:bidi w:val="0"/>
              <w:spacing w:before="0" w:after="283"/>
              <w:jc w:val="left"/>
              <w:rPr>
                <w:sz w:val="4"/>
                <w:szCs w:val="4"/>
              </w:rPr>
            </w:pPr>
            <w:r>
              <w:rPr>
                <w:sz w:val="4"/>
                <w:szCs w:val="4"/>
              </w:rPr>
            </w:r>
          </w:p>
        </w:tc>
      </w:tr>
      <w:tr>
        <w:trPr/>
        <w:tc>
          <w:tcPr>
            <w:tcW w:w="4608"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Outfit;sans-serif" w:hAnsi="Outfit;sans-serif"/>
                <w:color w:val="000000"/>
                <w:sz w:val="20"/>
              </w:rPr>
              <w:t>Wellington Management Group LLP, and its affiliated funds</w:t>
            </w:r>
            <w:r>
              <w:rPr>
                <w:rFonts w:ascii="Outfit;sans-serif" w:hAnsi="Outfit;sans-serif"/>
                <w:color w:val="000000"/>
                <w:sz w:val="13"/>
              </w:rPr>
              <w:t>(14)</w:t>
            </w:r>
          </w:p>
        </w:tc>
        <w:tc>
          <w:tcPr>
            <w:tcW w:w="15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8,916,135</w:t>
            </w:r>
          </w:p>
        </w:tc>
        <w:tc>
          <w:tcPr>
            <w:tcW w:w="628"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w:t>
            </w:r>
          </w:p>
        </w:tc>
        <w:tc>
          <w:tcPr>
            <w:tcW w:w="1493"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8" w:type="dxa"/>
            <w:tcBorders/>
            <w:shd w:fill="D9E1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87" w:type="dxa"/>
            <w:tcBorders/>
            <w:shd w:fill="D9E1EB"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w:t>
            </w:r>
          </w:p>
        </w:tc>
        <w:tc>
          <w:tcPr>
            <w:tcW w:w="434" w:type="dxa"/>
            <w:tcBorders/>
            <w:shd w:fill="D9E1EB" w:val="clear"/>
          </w:tcPr>
          <w:p>
            <w:pPr>
              <w:pStyle w:val="TableContents"/>
              <w:bidi w:val="0"/>
              <w:spacing w:before="0" w:after="283"/>
              <w:jc w:val="left"/>
              <w:rPr>
                <w:sz w:val="4"/>
                <w:szCs w:val="4"/>
              </w:rPr>
            </w:pPr>
            <w:r>
              <w:rPr>
                <w:sz w:val="4"/>
                <w:szCs w:val="4"/>
              </w:rPr>
            </w:r>
          </w:p>
        </w:tc>
      </w:tr>
    </w:tbl>
    <w:p>
      <w:pPr>
        <w:pStyle w:val="TextBody"/>
        <w:bidi w:val="0"/>
        <w:spacing w:before="120" w:after="283"/>
        <w:jc w:val="both"/>
        <w:rPr>
          <w:rFonts w:ascii="Outfit;sans-serif" w:hAnsi="Outfit;sans-serif"/>
          <w:color w:val="000000"/>
          <w:sz w:val="20"/>
        </w:rPr>
      </w:pPr>
      <w:r>
        <w:rPr>
          <w:rFonts w:ascii="Outfit;sans-serif" w:hAnsi="Outfit;sans-serif"/>
          <w:color w:val="000000"/>
          <w:sz w:val="20"/>
        </w:rPr>
        <w:t>* Less than 1%.</w:t>
      </w:r>
    </w:p>
    <w:p>
      <w:pPr>
        <w:pStyle w:val="TextBody"/>
        <w:bidi w:val="0"/>
        <w:jc w:val="center"/>
        <w:rPr>
          <w:rFonts w:ascii="Outfit;sans-serif" w:hAnsi="Outfit;sans-serif"/>
          <w:color w:val="000000"/>
          <w:sz w:val="22"/>
        </w:rPr>
      </w:pPr>
      <w:r>
        <w:rPr>
          <w:rFonts w:ascii="Outfit;sans-serif" w:hAnsi="Outfit;sans-serif"/>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Security Ownership of Certain Beneficial Owners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 w:hAnsi="Outfit"/>
          <w:color w:val="000000"/>
          <w:sz w:val="20"/>
        </w:rPr>
      </w:pPr>
      <w:r>
        <w:rPr>
          <w:rFonts w:ascii="Outfit" w:hAnsi="Outfit"/>
          <w:color w:val="000000"/>
          <w:sz w:val="20"/>
        </w:rPr>
        <w:t>(1)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Percentage of total voting power represents voting power with respect to all shares of our Class A and Class B common stock, as a single class. The holders of our Class B common stock are entitled to ten votes per share and holders of our Class A common stock are entitled to one vote per share. The shares described as “owned” are shares of our Class A common stock directly or indirectly owned by each listed person, rounded up to the nearest whole share.</w:t>
      </w:r>
    </w:p>
    <w:p>
      <w:pPr>
        <w:pStyle w:val="TextBody"/>
        <w:bidi w:val="0"/>
        <w:spacing w:before="120" w:after="283"/>
        <w:jc w:val="both"/>
        <w:rPr>
          <w:rFonts w:ascii="Outfit" w:hAnsi="Outfit"/>
          <w:color w:val="000000"/>
          <w:sz w:val="20"/>
        </w:rPr>
      </w:pPr>
      <w:r>
        <w:rPr>
          <w:rFonts w:ascii="Outfit" w:hAnsi="Outfit"/>
          <w:color w:val="000000"/>
          <w:sz w:val="20"/>
        </w:rPr>
        <w:t>(2)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366,757 shares of Class A common stock held of record by Mr. Trevisan, (ii) 262,850 shares of Class A common stock underlying options that were vested and exercisable as of April 10, 2026, (iii) 80,000 shares of Class A common stock held of record by the Jason Trevisan 2019 Family Trust dated July 23, 2019, of which Mr. Trevisan is the trustee, and (iv) 200,000 shares of Class A common stock held of record by the Trevisan 2025 Grantor Retained Annuity Trust dated March 13, 2025, of which Mr. Trevisan is the trustee.</w:t>
      </w:r>
    </w:p>
    <w:p>
      <w:pPr>
        <w:pStyle w:val="TextBody"/>
        <w:bidi w:val="0"/>
        <w:spacing w:before="120" w:after="283"/>
        <w:jc w:val="both"/>
        <w:rPr>
          <w:rFonts w:ascii="Outfit" w:hAnsi="Outfit"/>
          <w:color w:val="000000"/>
          <w:sz w:val="20"/>
        </w:rPr>
      </w:pPr>
      <w:r>
        <w:rPr>
          <w:rFonts w:ascii="Outfit" w:hAnsi="Outfit"/>
          <w:color w:val="000000"/>
          <w:sz w:val="20"/>
        </w:rPr>
        <w:t>(3)</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325,611 shares of Class A common stock and 12,522,063 shares of Class B common stock held of record by Mr. Steinert, (ii) 36,507 shares of Class A common stock underlying options that were vested and exercisable as of April 10, 2026, and (iii) 2 shares of Class A common stock and 1,693,019 shares of Class B common stock held of record by The Langley Steinert Irrevocable Family Trust dated June 21, 2004, of which Mr. Steinert’s children are the beneficiaries. Mr. Steinert is neither trustee for nor beneficiary of such trust; however, Mr. Steinert may be deemed to be the beneficial owner of the shares held of record thereby. Mr. Steinert expressly disclaims beneficial ownership of the shares held by such trust.</w:t>
      </w:r>
    </w:p>
    <w:p>
      <w:pPr>
        <w:pStyle w:val="TextBody"/>
        <w:bidi w:val="0"/>
        <w:spacing w:before="120" w:after="283"/>
        <w:jc w:val="both"/>
        <w:rPr>
          <w:rFonts w:ascii="Outfit" w:hAnsi="Outfit"/>
          <w:color w:val="000000"/>
          <w:sz w:val="20"/>
        </w:rPr>
      </w:pPr>
      <w:r>
        <w:rPr>
          <w:rFonts w:ascii="Outfit" w:hAnsi="Outfit"/>
          <w:color w:val="000000"/>
          <w:sz w:val="20"/>
        </w:rPr>
        <w:t>(4)</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95,601 shares of Class A common stock held of record by Mr. Quinn and (ii) 30,266 shares of Class A common stock underlying options that were vested and exercisable as of April 10, 2026.</w:t>
      </w:r>
    </w:p>
    <w:p>
      <w:pPr>
        <w:pStyle w:val="TextBody"/>
        <w:bidi w:val="0"/>
        <w:spacing w:before="120" w:after="283"/>
        <w:jc w:val="both"/>
        <w:rPr>
          <w:rFonts w:ascii="Outfit" w:hAnsi="Outfit"/>
          <w:color w:val="000000"/>
          <w:sz w:val="20"/>
        </w:rPr>
      </w:pPr>
      <w:r>
        <w:rPr>
          <w:rFonts w:ascii="Outfit" w:hAnsi="Outfit"/>
          <w:color w:val="000000"/>
          <w:sz w:val="20"/>
        </w:rPr>
        <w:t>(5)</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46,802 shares of Class A common stock held of record by Mr. Conine and (ii) 6,248 shares of Class A common stock underlying RSUs that will vest within 60 days after April 10, 2026.</w:t>
      </w:r>
    </w:p>
    <w:p>
      <w:pPr>
        <w:pStyle w:val="TextBody"/>
        <w:bidi w:val="0"/>
        <w:spacing w:before="120" w:after="283"/>
        <w:jc w:val="both"/>
        <w:rPr>
          <w:rFonts w:ascii="Outfit" w:hAnsi="Outfit"/>
          <w:color w:val="000000"/>
          <w:sz w:val="20"/>
        </w:rPr>
      </w:pPr>
      <w:r>
        <w:rPr>
          <w:rFonts w:ascii="Outfit" w:hAnsi="Outfit"/>
          <w:color w:val="000000"/>
          <w:sz w:val="20"/>
        </w:rPr>
        <w:t>(6)</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10,550 shares of Class A common stock held of record by Mr. Gupta and (ii) 6,248 shares of Class A common stock underlying RSUs that will vest within 60 days after April 10, 2026.</w:t>
      </w:r>
    </w:p>
    <w:p>
      <w:pPr>
        <w:pStyle w:val="TextBody"/>
        <w:bidi w:val="0"/>
        <w:spacing w:before="120" w:after="283"/>
        <w:jc w:val="both"/>
        <w:rPr>
          <w:rFonts w:ascii="Outfit" w:hAnsi="Outfit"/>
          <w:color w:val="000000"/>
          <w:sz w:val="20"/>
        </w:rPr>
      </w:pPr>
      <w:r>
        <w:rPr>
          <w:rFonts w:ascii="Outfit" w:hAnsi="Outfit"/>
          <w:color w:val="000000"/>
          <w:sz w:val="20"/>
        </w:rPr>
        <w:t>(7)</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40,667 shares of Class A common stock held of record by Ms. Hickok and (ii) 6,248 shares of Class A common stock underlying RSUs that will vest within 60 days after April 10, 2026.</w:t>
      </w:r>
    </w:p>
    <w:p>
      <w:pPr>
        <w:pStyle w:val="TextBody"/>
        <w:bidi w:val="0"/>
        <w:spacing w:before="120" w:after="283"/>
        <w:jc w:val="both"/>
        <w:rPr>
          <w:rFonts w:ascii="Outfit" w:hAnsi="Outfit"/>
          <w:color w:val="000000"/>
          <w:sz w:val="20"/>
        </w:rPr>
      </w:pPr>
      <w:r>
        <w:rPr>
          <w:rFonts w:ascii="Outfit" w:hAnsi="Outfit"/>
          <w:color w:val="000000"/>
          <w:sz w:val="20"/>
        </w:rPr>
        <w:t>(8)</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317,691 shares of Class A common stock held of record by Mr. Kaufer and (ii) 6,248 shares of Class A common stock underlying RSUs that will vest within 60 days after April 10, 2026.</w:t>
      </w:r>
    </w:p>
    <w:p>
      <w:pPr>
        <w:pStyle w:val="TextBody"/>
        <w:bidi w:val="0"/>
        <w:spacing w:before="120" w:after="283"/>
        <w:jc w:val="both"/>
        <w:rPr>
          <w:rFonts w:ascii="Outfit" w:hAnsi="Outfit"/>
          <w:color w:val="000000"/>
          <w:sz w:val="20"/>
        </w:rPr>
      </w:pPr>
      <w:r>
        <w:rPr>
          <w:rFonts w:ascii="Outfit" w:hAnsi="Outfit"/>
          <w:color w:val="000000"/>
          <w:sz w:val="20"/>
        </w:rPr>
        <w:t>(9)</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Consists of (i) 5,129 shares of Class A common stock held of record by Mr. Schwartz and (ii) 6,248 shares of Class A common stock underlying RSUs that will vest within 60 days after April 10, 2026.</w:t>
      </w:r>
    </w:p>
    <w:p>
      <w:pPr>
        <w:pStyle w:val="TextBody"/>
        <w:bidi w:val="0"/>
        <w:spacing w:before="120" w:after="283"/>
        <w:jc w:val="both"/>
        <w:rPr>
          <w:rFonts w:ascii="Outfit" w:hAnsi="Outfit"/>
          <w:color w:val="000000"/>
          <w:sz w:val="20"/>
        </w:rPr>
      </w:pPr>
      <w:r>
        <w:rPr>
          <w:rFonts w:ascii="Outfit" w:hAnsi="Outfit"/>
          <w:color w:val="000000"/>
          <w:sz w:val="20"/>
        </w:rPr>
        <w:t>(10)</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Includes (i) 360,751 shares of Class A common stock underlying options that were vested and exercisable as of April 10, 2026, (ii) 39,883 shares of Class A common stock underlying RSUs that will vest within 60 days after April 10, 2026, and (iii) 280,002 shares of Class A common stock held indirectly through trusts.</w:t>
      </w:r>
    </w:p>
    <w:p>
      <w:pPr>
        <w:pStyle w:val="TextBody"/>
        <w:bidi w:val="0"/>
        <w:spacing w:before="120" w:after="283"/>
        <w:jc w:val="both"/>
        <w:rPr>
          <w:rFonts w:ascii="Outfit" w:hAnsi="Outfit"/>
          <w:color w:val="000000"/>
          <w:sz w:val="20"/>
        </w:rPr>
      </w:pPr>
      <w:r>
        <w:rPr>
          <w:rFonts w:ascii="Outfit" w:hAnsi="Outfit"/>
          <w:color w:val="000000"/>
          <w:sz w:val="20"/>
        </w:rPr>
        <w:t>(11)</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Includes 1,693,019 shares of Class B common stock held indirectly through a trust.</w:t>
      </w:r>
    </w:p>
    <w:p>
      <w:pPr>
        <w:pStyle w:val="TextBody"/>
        <w:bidi w:val="0"/>
        <w:spacing w:before="120" w:after="283"/>
        <w:jc w:val="both"/>
        <w:rPr>
          <w:rFonts w:ascii="Outfit" w:hAnsi="Outfit"/>
          <w:color w:val="000000"/>
          <w:sz w:val="20"/>
        </w:rPr>
      </w:pPr>
      <w:r>
        <w:rPr>
          <w:rFonts w:ascii="Outfit" w:hAnsi="Outfit"/>
          <w:color w:val="000000"/>
          <w:sz w:val="20"/>
        </w:rPr>
        <w:t>(12)</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According to a Schedule 13G/A filed with the SEC on July 18, 2025, reporting the beneficial ownership of 12,118,579 shares of our Class A common stock, BlackRock, Inc. reported that it had sole voting power over 11,952,359 shares of Class A common stock, sole dispositive power over all 12,118,579 shares of Class A common stock, and shared voting and dispositive powers over none of the shares. The principal business office of BlackRock, Inc. is 50 Hudson Yards, New York, New York 10001.</w:t>
      </w:r>
    </w:p>
    <w:p>
      <w:pPr>
        <w:pStyle w:val="TextBody"/>
        <w:bidi w:val="0"/>
        <w:spacing w:before="120" w:after="283"/>
        <w:jc w:val="both"/>
        <w:rPr>
          <w:rFonts w:ascii="Outfit" w:hAnsi="Outfit"/>
          <w:color w:val="000000"/>
          <w:sz w:val="20"/>
        </w:rPr>
      </w:pPr>
      <w:r>
        <w:rPr>
          <w:rFonts w:ascii="Outfit" w:hAnsi="Outfit"/>
          <w:color w:val="000000"/>
          <w:sz w:val="20"/>
        </w:rPr>
        <w:t>(13)</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According to Schedule 13G/A filed with the SEC on February 13, 2024. The Vanguard Group, Inc. (Vanguard) subsequently filed a Schedule 13G/A with the SEC on March 26, 2026, stating that (i) on January 12, 2026, Vanguard went through an internal realignment and that certain subsidiaries or business divisions of subsidiaries of Vanguard that formerly had, or were deemed to have, beneficial ownership with Vanguard will report beneficial ownership separately (on a disaggregated basis) from Vanguard and (ii) Vanguard no longer has, or is deemed to have, beneficial ownership over securities beneficially owned by such subsidiaries and/or business divisions.</w:t>
      </w:r>
    </w:p>
    <w:p>
      <w:pPr>
        <w:pStyle w:val="TextBody"/>
        <w:bidi w:val="0"/>
        <w:jc w:val="center"/>
        <w:rPr>
          <w:rFonts w:ascii="Outfit;sans-serif" w:hAnsi="Outfit;sans-serif"/>
          <w:color w:val="000000"/>
          <w:sz w:val="22"/>
        </w:rPr>
      </w:pPr>
      <w:r>
        <w:rPr>
          <w:rFonts w:ascii="Outfit;sans-serif" w:hAnsi="Outfit;sans-serif"/>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Security Ownership of Certain Beneficial Owners</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283"/>
        <w:jc w:val="both"/>
        <w:rPr>
          <w:rFonts w:ascii="Outfit" w:hAnsi="Outfit"/>
          <w:color w:val="000000"/>
          <w:sz w:val="20"/>
        </w:rPr>
      </w:pPr>
      <w:r>
        <w:rPr>
          <w:rFonts w:ascii="Outfit" w:hAnsi="Outfit"/>
          <w:color w:val="000000"/>
          <w:sz w:val="20"/>
        </w:rPr>
        <w:t>(14)</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According to a Schedule 13G/A filed with the SEC on June 5, 2025, reporting the beneficial ownership of 8,916,135 shares of our Class A common stock, (i) each of Wellington Management Group LLP, Wellington Group Holdings LLP, and Wellington Investment Advisors Holdings LLP reported having shared voting power over 6,361,484 shares of Class A common stock, shared dispositive power over 8,916,135 shares of Class A common stock, and sole voting and dispositive powers over none of the shares, and (ii) Wellington Management Company LLP reported having shared voting power over 6,314,615 shares of Class A common stock, shared dispositive power over 8,113,235 shares of Class A common stock, and sole voting and dispositive powers over none of the shares. The shares of Class A common stock beneficially owned by Wellington Management Group LLP, as parent holding company of certain holding companies and investment advisors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Massachusetts 02210.</w:t>
      </w:r>
    </w:p>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General Information About the Annual Meeting</w:t>
            </w:r>
          </w:p>
          <w:p>
            <w:pPr>
              <w:pStyle w:val="Heading1"/>
              <w:bidi w:val="0"/>
              <w:spacing w:before="240" w:after="283"/>
              <w:jc w:val="center"/>
              <w:rPr>
                <w:rFonts w:ascii="Outfit;sans-serif" w:hAnsi="Outfit;sans-serif"/>
                <w:color w:val="003A6F"/>
                <w:sz w:val="8"/>
              </w:rPr>
            </w:pPr>
            <w:r>
              <w:rPr>
                <w:rFonts w:ascii="Outfit;sans-serif" w:hAnsi="Outfit;sans-serif"/>
                <w:color w:val="003A6F"/>
                <w:sz w:val="8"/>
              </w:rPr>
              <w:t>ng</w:t>
            </w:r>
          </w:p>
        </w:tc>
      </w:tr>
    </w:tbl>
    <w:p>
      <w:pPr>
        <w:pStyle w:val="TextBody"/>
        <w:bidi w:val="0"/>
        <w:jc w:val="center"/>
        <w:rPr/>
      </w:pPr>
      <w:r>
        <w:rPr/>
        <w:t> </w:t>
      </w:r>
    </w:p>
    <w:p>
      <w:pPr>
        <w:pStyle w:val="TextBody"/>
        <w:bidi w:val="0"/>
        <w:spacing w:before="0" w:after="120"/>
        <w:jc w:val="both"/>
        <w:rPr>
          <w:rFonts w:ascii="Outfit;sans-serif" w:hAnsi="Outfit;sans-serif"/>
          <w:b/>
          <w:color w:val="3465B0"/>
          <w:sz w:val="24"/>
        </w:rPr>
      </w:pPr>
      <w:bookmarkStart w:id="27" w:name="general_information"/>
      <w:bookmarkEnd w:id="27"/>
      <w:r>
        <w:rPr>
          <w:rFonts w:ascii="Outfit;sans-serif" w:hAnsi="Outfit;sans-serif"/>
          <w:b/>
          <w:color w:val="3465B0"/>
          <w:sz w:val="24"/>
        </w:rPr>
        <w:t>Why did I receive these proxy materials?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You are receiving these proxy materials in connection with the solicitation of proxies by the Board for use at the Annual Meeting. As a stockholder of record as of the close of business on April 10, 2026, which is the record date fixed by the Board, you are invited to attend the virtual Annual Meeting and are urged to vote your shares on the proposals described in this proxy statement.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Why did I receive a Notice of Internet Availability of Proxy Materials?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are providing access to our proxy materials, including this proxy statement and our Annual Report, over the internet. Accordingly, on or about April 22, 2026, we are mailing to our stockholders a Notice Regarding the Availability of Proxy Materials (the Notice). The Notice directs stockholders to a website where they can access our proxy materials, including our proxy statement and our Annual Report, and view instructions on how to vote online or by telephone. If you would prefer to receive a paper copy of our proxy materials, please follow the instructions included in the Notice. If you have previously elected to receive our proxy materials electronically, you will continue to receive access to these materials electronically unless you elect otherwise.</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Who can vote at the Annual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set April 10, 2026, as the record date for the Annual Meeting. If you were a stockholder of record as of the close of business on the record date, you are entitled to vote (including by proxy) all of the shares that you held on the record date at the Annual Meeting and at any postponement or adjournment thereof. On the record date, we had 75,970,602 shares of Class A common stock outstanding (each of which entitles its holder to one vote per share) and 14,216,250 shares of Class B common stock outstanding (each of which entitles its holder to ten votes per share).</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Are the Proposals to be Voted on and What Are the Voting Standards?</w:t>
      </w:r>
    </w:p>
    <w:tbl>
      <w:tblPr>
        <w:tblW w:w="10205" w:type="dxa"/>
        <w:jc w:val="left"/>
        <w:tblInd w:w="0" w:type="dxa"/>
        <w:tblLayout w:type="fixed"/>
        <w:tblCellMar>
          <w:top w:w="28" w:type="dxa"/>
          <w:left w:w="28" w:type="dxa"/>
          <w:bottom w:w="28" w:type="dxa"/>
          <w:right w:w="28" w:type="dxa"/>
        </w:tblCellMar>
      </w:tblPr>
      <w:tblGrid>
        <w:gridCol w:w="241"/>
        <w:gridCol w:w="2527"/>
        <w:gridCol w:w="146"/>
        <w:gridCol w:w="2158"/>
        <w:gridCol w:w="146"/>
        <w:gridCol w:w="2237"/>
        <w:gridCol w:w="146"/>
        <w:gridCol w:w="2604"/>
      </w:tblGrid>
      <w:tr>
        <w:trPr/>
        <w:tc>
          <w:tcPr>
            <w:tcW w:w="241"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2768" w:type="dxa"/>
            <w:gridSpan w:val="2"/>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0"/>
              </w:rPr>
            </w:pPr>
            <w:r>
              <w:rPr>
                <w:rFonts w:ascii="Outfit;sans-serif" w:hAnsi="Outfit;sans-serif"/>
                <w:b/>
                <w:color w:val="3465B0"/>
                <w:sz w:val="20"/>
              </w:rPr>
              <w:t>Proposals</w:t>
            </w:r>
          </w:p>
        </w:tc>
        <w:tc>
          <w:tcPr>
            <w:tcW w:w="146" w:type="dxa"/>
            <w:tcBorders/>
            <w:shd w:fill="E4F5FE" w:val="clear"/>
            <w:tcMar>
              <w:top w:w="0" w:type="dxa"/>
              <w:left w:w="0" w:type="dxa"/>
              <w:bottom w:w="0" w:type="dxa"/>
              <w:right w:w="0" w:type="dxa"/>
            </w:tcMar>
            <w:vAlign w:val="center"/>
          </w:tcPr>
          <w:p>
            <w:pPr>
              <w:pStyle w:val="TableContents"/>
              <w:bidi w:val="0"/>
              <w:spacing w:before="0" w:after="60"/>
              <w:jc w:val="center"/>
              <w:rPr/>
            </w:pPr>
            <w:r>
              <w:rPr/>
              <w:t> </w:t>
            </w:r>
          </w:p>
        </w:tc>
        <w:tc>
          <w:tcPr>
            <w:tcW w:w="2158" w:type="dxa"/>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0"/>
              </w:rPr>
            </w:pPr>
            <w:r>
              <w:rPr>
                <w:rFonts w:ascii="Outfit;sans-serif" w:hAnsi="Outfit;sans-serif"/>
                <w:b/>
                <w:color w:val="3465B0"/>
                <w:sz w:val="20"/>
              </w:rPr>
              <w:t>Board’s Recommendation</w:t>
            </w:r>
          </w:p>
        </w:tc>
        <w:tc>
          <w:tcPr>
            <w:tcW w:w="146" w:type="dxa"/>
            <w:tcBorders/>
            <w:shd w:fill="E4F5FE" w:val="clear"/>
            <w:tcMar>
              <w:top w:w="0" w:type="dxa"/>
              <w:left w:w="0" w:type="dxa"/>
              <w:bottom w:w="0" w:type="dxa"/>
              <w:right w:w="0" w:type="dxa"/>
            </w:tcMar>
            <w:vAlign w:val="center"/>
          </w:tcPr>
          <w:p>
            <w:pPr>
              <w:pStyle w:val="TableContents"/>
              <w:bidi w:val="0"/>
              <w:spacing w:before="0" w:after="60"/>
              <w:jc w:val="center"/>
              <w:rPr/>
            </w:pPr>
            <w:r>
              <w:rPr/>
              <w:t> </w:t>
            </w:r>
          </w:p>
        </w:tc>
        <w:tc>
          <w:tcPr>
            <w:tcW w:w="2237" w:type="dxa"/>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0"/>
              </w:rPr>
            </w:pPr>
            <w:r>
              <w:rPr>
                <w:rFonts w:ascii="Outfit;sans-serif" w:hAnsi="Outfit;sans-serif"/>
                <w:b/>
                <w:color w:val="3465B0"/>
                <w:sz w:val="20"/>
              </w:rPr>
              <w:t>Voting Standard</w:t>
            </w:r>
          </w:p>
        </w:tc>
        <w:tc>
          <w:tcPr>
            <w:tcW w:w="146" w:type="dxa"/>
            <w:tcBorders/>
            <w:shd w:fill="E4F5FE" w:val="clear"/>
            <w:tcMar>
              <w:top w:w="0" w:type="dxa"/>
              <w:left w:w="0" w:type="dxa"/>
              <w:bottom w:w="0" w:type="dxa"/>
              <w:right w:w="0" w:type="dxa"/>
            </w:tcMar>
            <w:vAlign w:val="center"/>
          </w:tcPr>
          <w:p>
            <w:pPr>
              <w:pStyle w:val="TableContents"/>
              <w:bidi w:val="0"/>
              <w:spacing w:before="0" w:after="60"/>
              <w:jc w:val="center"/>
              <w:rPr/>
            </w:pPr>
            <w:r>
              <w:rPr/>
              <w:t> </w:t>
            </w:r>
          </w:p>
        </w:tc>
        <w:tc>
          <w:tcPr>
            <w:tcW w:w="2604" w:type="dxa"/>
            <w:tcBorders/>
            <w:shd w:fill="E4F5FE" w:val="clear"/>
            <w:tcMar>
              <w:top w:w="0" w:type="dxa"/>
              <w:left w:w="0" w:type="dxa"/>
              <w:bottom w:w="0" w:type="dxa"/>
              <w:right w:w="0" w:type="dxa"/>
            </w:tcMar>
            <w:vAlign w:val="center"/>
          </w:tcPr>
          <w:p>
            <w:pPr>
              <w:pStyle w:val="TableContents"/>
              <w:bidi w:val="0"/>
              <w:spacing w:before="0" w:after="60"/>
              <w:jc w:val="center"/>
              <w:rPr>
                <w:rFonts w:ascii="Outfit;sans-serif" w:hAnsi="Outfit;sans-serif"/>
                <w:b/>
                <w:color w:val="3465B0"/>
                <w:sz w:val="20"/>
              </w:rPr>
            </w:pPr>
            <w:r>
              <w:rPr>
                <w:rFonts w:ascii="Outfit;sans-serif" w:hAnsi="Outfit;sans-serif"/>
                <w:b/>
                <w:color w:val="3465B0"/>
                <w:sz w:val="20"/>
              </w:rPr>
              <w:t>Effect of Abstentions and Broker Non-Votes</w:t>
            </w:r>
          </w:p>
        </w:tc>
      </w:tr>
      <w:tr>
        <w:trPr/>
        <w:tc>
          <w:tcPr>
            <w:tcW w:w="241"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0"/>
              </w:rPr>
            </w:pPr>
            <w:r>
              <w:rPr>
                <w:rFonts w:ascii="Outfit;sans-serif" w:hAnsi="Outfit;sans-serif"/>
                <w:color w:val="000000"/>
                <w:sz w:val="20"/>
              </w:rPr>
              <w:t>1</w:t>
            </w:r>
          </w:p>
        </w:tc>
        <w:tc>
          <w:tcPr>
            <w:tcW w:w="2527" w:type="dxa"/>
            <w:tcBorders>
              <w:bottom w:val="single" w:sz="12" w:space="0" w:color="D9E1EB"/>
            </w:tcBorders>
            <w:tcMar>
              <w:top w:w="0" w:type="dxa"/>
              <w:left w:w="0" w:type="dxa"/>
              <w:right w:w="0" w:type="dxa"/>
            </w:tcMar>
            <w:vAlign w:val="center"/>
          </w:tcPr>
          <w:p>
            <w:pPr>
              <w:pStyle w:val="TableContents"/>
              <w:bidi w:val="0"/>
              <w:spacing w:before="120" w:after="120"/>
              <w:jc w:val="center"/>
              <w:rPr>
                <w:rFonts w:ascii="Outfit;sans-serif" w:hAnsi="Outfit;sans-serif"/>
                <w:color w:val="000000"/>
                <w:sz w:val="20"/>
              </w:rPr>
            </w:pPr>
            <w:r>
              <w:rPr>
                <w:rFonts w:ascii="Outfit;sans-serif" w:hAnsi="Outfit;sans-serif"/>
                <w:color w:val="000000"/>
                <w:sz w:val="20"/>
              </w:rPr>
              <w:t>Election of the two nominees named in this proxy statement as Class III directors</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158"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Times New Roman" w:hAnsi="Times New Roman"/>
                <w:sz w:val="20"/>
              </w:rPr>
            </w:pPr>
            <w:r>
              <w:rPr>
                <w:rFonts w:ascii="Outfit;sans-serif" w:hAnsi="Outfit;sans-serif"/>
                <w:color w:val="3465B0"/>
                <w:sz w:val="20"/>
              </w:rPr>
              <w:t>FOR</w:t>
            </w:r>
            <w:r>
              <w:rPr>
                <w:rFonts w:ascii="Times New Roman" w:hAnsi="Times New Roman"/>
                <w:color w:val="000000"/>
                <w:sz w:val="20"/>
              </w:rPr>
              <w:t> </w:t>
            </w:r>
            <w:r>
              <w:rPr>
                <w:rFonts w:ascii="Outfit;sans-serif" w:hAnsi="Outfit;sans-serif"/>
                <w:color w:val="000000"/>
                <w:sz w:val="20"/>
              </w:rPr>
              <w:t>EACH DIRECTOR NOMINEE</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237"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000000"/>
                <w:sz w:val="20"/>
              </w:rPr>
            </w:pPr>
            <w:r>
              <w:rPr>
                <w:rFonts w:ascii="Outfit;sans-serif" w:hAnsi="Outfit;sans-serif"/>
                <w:color w:val="000000"/>
                <w:sz w:val="20"/>
              </w:rPr>
              <w:t>Plurality of the shares present in person or represented by proxy and entitled to vote thereon</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604"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000000"/>
                <w:sz w:val="20"/>
              </w:rPr>
            </w:pPr>
            <w:r>
              <w:rPr>
                <w:rFonts w:ascii="Outfit;sans-serif" w:hAnsi="Outfit;sans-serif"/>
                <w:color w:val="000000"/>
                <w:sz w:val="20"/>
              </w:rPr>
              <w:t>Withheld and broker non-votes have no effect on the proposal</w:t>
            </w:r>
          </w:p>
        </w:tc>
      </w:tr>
      <w:tr>
        <w:trPr/>
        <w:tc>
          <w:tcPr>
            <w:tcW w:w="241"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0"/>
              </w:rPr>
            </w:pPr>
            <w:r>
              <w:rPr>
                <w:rFonts w:ascii="Outfit;sans-serif" w:hAnsi="Outfit;sans-serif"/>
                <w:color w:val="000000"/>
                <w:sz w:val="20"/>
              </w:rPr>
              <w:t>2</w:t>
            </w:r>
          </w:p>
        </w:tc>
        <w:tc>
          <w:tcPr>
            <w:tcW w:w="2527" w:type="dxa"/>
            <w:tcBorders>
              <w:bottom w:val="single" w:sz="12" w:space="0" w:color="D9E1EB"/>
            </w:tcBorders>
            <w:tcMar>
              <w:top w:w="0" w:type="dxa"/>
              <w:left w:w="0" w:type="dxa"/>
              <w:right w:w="0" w:type="dxa"/>
            </w:tcMar>
            <w:vAlign w:val="center"/>
          </w:tcPr>
          <w:p>
            <w:pPr>
              <w:pStyle w:val="TableContents"/>
              <w:bidi w:val="0"/>
              <w:spacing w:before="120" w:after="120"/>
              <w:jc w:val="center"/>
              <w:rPr>
                <w:rFonts w:ascii="Outfit;sans-serif" w:hAnsi="Outfit;sans-serif"/>
                <w:color w:val="000000"/>
                <w:sz w:val="20"/>
              </w:rPr>
            </w:pPr>
            <w:r>
              <w:rPr>
                <w:rFonts w:ascii="Outfit;sans-serif" w:hAnsi="Outfit;sans-serif"/>
                <w:color w:val="000000"/>
                <w:sz w:val="20"/>
              </w:rPr>
              <w:t>Ratification of the selection of Ernst &amp; Young LLP as our independent registered public accounting firm</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158"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3465B0"/>
                <w:sz w:val="20"/>
              </w:rPr>
            </w:pPr>
            <w:r>
              <w:rPr>
                <w:rFonts w:ascii="Outfit;sans-serif" w:hAnsi="Outfit;sans-serif"/>
                <w:color w:val="3465B0"/>
                <w:sz w:val="20"/>
              </w:rPr>
              <w:t>FOR</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237"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000000"/>
                <w:sz w:val="20"/>
              </w:rPr>
            </w:pPr>
            <w:r>
              <w:rPr>
                <w:rFonts w:ascii="Outfit;sans-serif" w:hAnsi="Outfit;sans-serif"/>
                <w:color w:val="000000"/>
                <w:sz w:val="20"/>
              </w:rPr>
              <w:t>Majority of shares</w:t>
              <w:br/>
              <w:t>entitled to vote</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604" w:type="dxa"/>
            <w:tcBorders>
              <w:bottom w:val="single" w:sz="12" w:space="0" w:color="D9E1EB"/>
            </w:tcBorders>
            <w:tcMar>
              <w:top w:w="0" w:type="dxa"/>
              <w:left w:w="0" w:type="dxa"/>
              <w:right w:w="0" w:type="dxa"/>
            </w:tcMar>
            <w:vAlign w:val="center"/>
          </w:tcPr>
          <w:p>
            <w:pPr>
              <w:pStyle w:val="TableContents"/>
              <w:bidi w:val="0"/>
              <w:spacing w:before="120" w:after="120"/>
              <w:jc w:val="center"/>
              <w:rPr>
                <w:rFonts w:ascii="Outfit;sans-serif" w:hAnsi="Outfit;sans-serif"/>
                <w:color w:val="000000"/>
                <w:sz w:val="20"/>
              </w:rPr>
            </w:pPr>
            <w:r>
              <w:rPr>
                <w:rFonts w:ascii="Outfit;sans-serif" w:hAnsi="Outfit;sans-serif"/>
                <w:color w:val="000000"/>
                <w:sz w:val="20"/>
              </w:rPr>
              <w:t>Abstentions have the effect of a vote against the proposal. No broker non-votes are expected on the proposal.</w:t>
            </w:r>
          </w:p>
        </w:tc>
      </w:tr>
      <w:tr>
        <w:trPr/>
        <w:tc>
          <w:tcPr>
            <w:tcW w:w="241" w:type="dxa"/>
            <w:tcBorders>
              <w:bottom w:val="single" w:sz="12" w:space="0" w:color="D9E1EB"/>
            </w:tcBorders>
            <w:tcMar>
              <w:top w:w="0" w:type="dxa"/>
              <w:left w:w="0" w:type="dxa"/>
              <w:right w:w="0" w:type="dxa"/>
            </w:tcMar>
            <w:vAlign w:val="center"/>
          </w:tcPr>
          <w:p>
            <w:pPr>
              <w:pStyle w:val="TableContents"/>
              <w:bidi w:val="0"/>
              <w:spacing w:before="0" w:after="60"/>
              <w:jc w:val="center"/>
              <w:rPr>
                <w:rFonts w:ascii="Outfit;sans-serif" w:hAnsi="Outfit;sans-serif"/>
                <w:color w:val="000000"/>
                <w:sz w:val="20"/>
              </w:rPr>
            </w:pPr>
            <w:r>
              <w:rPr>
                <w:rFonts w:ascii="Outfit;sans-serif" w:hAnsi="Outfit;sans-serif"/>
                <w:color w:val="000000"/>
                <w:sz w:val="20"/>
              </w:rPr>
              <w:t>3</w:t>
            </w:r>
          </w:p>
        </w:tc>
        <w:tc>
          <w:tcPr>
            <w:tcW w:w="2527"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000000"/>
                <w:sz w:val="20"/>
              </w:rPr>
            </w:pPr>
            <w:r>
              <w:rPr>
                <w:rFonts w:ascii="Outfit;sans-serif" w:hAnsi="Outfit;sans-serif"/>
                <w:color w:val="000000"/>
                <w:sz w:val="20"/>
              </w:rPr>
              <w:t>Advisory vote to approve the compensation of our named executive officers for 2025</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158"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3465B0"/>
                <w:sz w:val="20"/>
              </w:rPr>
            </w:pPr>
            <w:r>
              <w:rPr>
                <w:rFonts w:ascii="Outfit;sans-serif" w:hAnsi="Outfit;sans-serif"/>
                <w:color w:val="3465B0"/>
                <w:sz w:val="20"/>
              </w:rPr>
              <w:t>FOR</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237" w:type="dxa"/>
            <w:tcBorders>
              <w:bottom w:val="single" w:sz="12" w:space="0" w:color="D9E1EB"/>
            </w:tcBorders>
            <w:tcMar>
              <w:top w:w="0" w:type="dxa"/>
              <w:left w:w="0" w:type="dxa"/>
              <w:right w:w="0" w:type="dxa"/>
            </w:tcMar>
            <w:vAlign w:val="center"/>
          </w:tcPr>
          <w:p>
            <w:pPr>
              <w:pStyle w:val="TableContents"/>
              <w:bidi w:val="0"/>
              <w:spacing w:before="0" w:after="120"/>
              <w:jc w:val="center"/>
              <w:rPr>
                <w:rFonts w:ascii="Outfit;sans-serif" w:hAnsi="Outfit;sans-serif"/>
                <w:color w:val="000000"/>
                <w:sz w:val="20"/>
              </w:rPr>
            </w:pPr>
            <w:r>
              <w:rPr>
                <w:rFonts w:ascii="Outfit;sans-serif" w:hAnsi="Outfit;sans-serif"/>
                <w:color w:val="000000"/>
                <w:sz w:val="20"/>
              </w:rPr>
              <w:t>Majority of shares</w:t>
              <w:br/>
              <w:t>entitled to vote</w:t>
            </w:r>
          </w:p>
        </w:tc>
        <w:tc>
          <w:tcPr>
            <w:tcW w:w="146" w:type="dxa"/>
            <w:tcBorders>
              <w:bottom w:val="single" w:sz="12" w:space="0" w:color="D9E1EB"/>
            </w:tcBorders>
            <w:tcMar>
              <w:top w:w="0" w:type="dxa"/>
              <w:left w:w="0" w:type="dxa"/>
              <w:right w:w="0" w:type="dxa"/>
            </w:tcMar>
            <w:vAlign w:val="center"/>
          </w:tcPr>
          <w:p>
            <w:pPr>
              <w:pStyle w:val="TableContents"/>
              <w:bidi w:val="0"/>
              <w:spacing w:before="0" w:after="120"/>
              <w:jc w:val="center"/>
              <w:rPr/>
            </w:pPr>
            <w:r>
              <w:rPr/>
              <w:t> </w:t>
            </w:r>
          </w:p>
        </w:tc>
        <w:tc>
          <w:tcPr>
            <w:tcW w:w="2604" w:type="dxa"/>
            <w:tcBorders>
              <w:bottom w:val="single" w:sz="12" w:space="0" w:color="D9E1EB"/>
            </w:tcBorders>
            <w:tcMar>
              <w:top w:w="0" w:type="dxa"/>
              <w:left w:w="0" w:type="dxa"/>
              <w:right w:w="0" w:type="dxa"/>
            </w:tcMar>
            <w:vAlign w:val="center"/>
          </w:tcPr>
          <w:p>
            <w:pPr>
              <w:pStyle w:val="TableContents"/>
              <w:bidi w:val="0"/>
              <w:spacing w:before="120" w:after="120"/>
              <w:jc w:val="center"/>
              <w:rPr>
                <w:rFonts w:ascii="Outfit;sans-serif" w:hAnsi="Outfit;sans-serif"/>
                <w:color w:val="000000"/>
                <w:sz w:val="20"/>
              </w:rPr>
            </w:pPr>
            <w:r>
              <w:rPr>
                <w:rFonts w:ascii="Outfit;sans-serif" w:hAnsi="Outfit;sans-serif"/>
                <w:color w:val="000000"/>
                <w:sz w:val="20"/>
              </w:rPr>
              <w:t>Abstentions have the effect of a vote against the proposal. Broker non-votes have no effect on the proposal.</w:t>
            </w:r>
          </w:p>
        </w:tc>
      </w:tr>
    </w:tbl>
    <w:p>
      <w:pPr>
        <w:pStyle w:val="TextBody"/>
        <w:bidi w:val="0"/>
        <w:spacing w:before="120" w:after="120"/>
        <w:jc w:val="both"/>
        <w:rPr>
          <w:rFonts w:ascii="Outfit;sans-serif" w:hAnsi="Outfit;sans-serif"/>
          <w:b/>
          <w:color w:val="3465B0"/>
          <w:sz w:val="24"/>
        </w:rPr>
      </w:pPr>
      <w:r>
        <w:rPr>
          <w:rFonts w:ascii="Outfit;sans-serif" w:hAnsi="Outfit;sans-serif"/>
          <w:b/>
          <w:color w:val="3465B0"/>
          <w:sz w:val="24"/>
        </w:rPr>
        <w:t>How do I attend the Annual Meeting?</w:t>
      </w:r>
    </w:p>
    <w:p>
      <w:pPr>
        <w:pStyle w:val="TextBody"/>
        <w:bidi w:val="0"/>
        <w:spacing w:before="0" w:after="120"/>
        <w:jc w:val="both"/>
        <w:rPr>
          <w:rFonts w:ascii="Times New Roman" w:hAnsi="Times New Roman"/>
          <w:sz w:val="20"/>
        </w:rPr>
      </w:pPr>
      <w:r>
        <w:rPr>
          <w:rFonts w:ascii="Outfit;sans-serif" w:hAnsi="Outfit;sans-serif"/>
          <w:color w:val="000000"/>
          <w:sz w:val="22"/>
        </w:rPr>
        <w:t>The Annual Meeting will be held virtually on Wednesday, June 3, 2026, at 2:00 p.m. Eastern Time. The Annual Meeting will be a virtual stockholder meeting, conducted via live audio webcast, through which you can submit questions and vote online.</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General Information About the Annual Meeting</w:t>
            </w:r>
          </w:p>
          <w:p>
            <w:pPr>
              <w:pStyle w:val="Heading1"/>
              <w:bidi w:val="0"/>
              <w:spacing w:before="240" w:after="283"/>
              <w:jc w:val="center"/>
              <w:rPr>
                <w:rFonts w:ascii="Outfit;sans-serif" w:hAnsi="Outfit;sans-serif"/>
                <w:color w:val="003A6F"/>
                <w:sz w:val="8"/>
              </w:rPr>
            </w:pPr>
            <w:r>
              <w:rPr>
                <w:rFonts w:ascii="Outfit;sans-serif" w:hAnsi="Outfit;sans-serif"/>
                <w:color w:val="003A6F"/>
                <w:sz w:val="8"/>
              </w:rPr>
              <w:t>ng</w:t>
            </w:r>
          </w:p>
        </w:tc>
      </w:tr>
    </w:tbl>
    <w:p>
      <w:pPr>
        <w:pStyle w:val="TextBody"/>
        <w:bidi w:val="0"/>
        <w:jc w:val="center"/>
        <w:rPr/>
      </w:pPr>
      <w:r>
        <w:rPr/>
        <w:t> </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The Annual Meeting can be accessed by visiting </w:t>
      </w:r>
      <w:r>
        <w:rPr>
          <w:rFonts w:ascii="Outfit;sans-serif" w:hAnsi="Outfit;sans-serif"/>
          <w:i/>
          <w:color w:val="000000"/>
          <w:sz w:val="22"/>
        </w:rPr>
        <w:t>www.virtualshareholdermeeting.com/CARG2026</w:t>
      </w:r>
      <w:r>
        <w:rPr>
          <w:rFonts w:ascii="Times New Roman" w:hAnsi="Times New Roman"/>
          <w:color w:val="000000"/>
          <w:sz w:val="20"/>
        </w:rPr>
        <w:t xml:space="preserve"> </w:t>
      </w:r>
      <w:r>
        <w:rPr>
          <w:rFonts w:ascii="Outfit;sans-serif" w:hAnsi="Outfit;sans-serif"/>
          <w:color w:val="000000"/>
          <w:sz w:val="22"/>
        </w:rPr>
        <w:t>and entering your 16-digit control number (included on the Notice mailed to you). Information on how to vote during the Annual Meeting is discussed below. We believe this format facilitates stockholder attendance and participation by enabling all stockholders to participate fully, and equally, using any internet-connected device from any location around the world at no cost.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Can I ask questions during the Annual Meeting?</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Yes. Stockholders may submit questions during the Annual Meeting via the internet at </w:t>
      </w:r>
      <w:r>
        <w:rPr>
          <w:rFonts w:ascii="Outfit;sans-serif" w:hAnsi="Outfit;sans-serif"/>
          <w:i/>
          <w:color w:val="000000"/>
          <w:sz w:val="22"/>
        </w:rPr>
        <w:t xml:space="preserve">www.virtualshareholdermeeting.com/CARG2026 </w:t>
      </w:r>
      <w:r>
        <w:rPr>
          <w:rFonts w:ascii="Outfit;sans-serif" w:hAnsi="Outfit;sans-serif"/>
          <w:color w:val="000000"/>
          <w:sz w:val="22"/>
        </w:rPr>
        <w:t xml:space="preserve">after logging in with the 16-digit control number included on the Notice mailed to you. We will endeavor to answer as many questions pertinent to Annual Meeting matters as time permits, but we do not intend to address any questions that are not pertinent to Annual Meeting matters. Questions that are substantially similar may be grouped, summarized, and answered together to avoid repetition. We will not address questions that do not conform with the Annual Meeting Rules of Conduct. The Rules of Conduct may be found by accessing the Annual Meeting website at </w:t>
      </w:r>
      <w:r>
        <w:rPr>
          <w:rFonts w:ascii="Outfit;sans-serif" w:hAnsi="Outfit;sans-serif"/>
          <w:i/>
          <w:color w:val="000000"/>
          <w:sz w:val="22"/>
        </w:rPr>
        <w:t>www.virtualshareholdermeeting.com/CARG2026</w:t>
      </w:r>
      <w:r>
        <w:rPr>
          <w:rFonts w:ascii="Outfit;sans-serif" w:hAnsi="Outfit;sans-serif"/>
          <w:color w:val="000000"/>
          <w:sz w:val="22"/>
        </w:rPr>
        <w: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If I am unable to attend the virtual Annual Meeting, can I listen to the Annual Meeting by telephone?</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No. The Annual Meeting is only accessible via the live audio webcast at </w:t>
      </w:r>
      <w:r>
        <w:rPr>
          <w:rFonts w:ascii="Outfit;sans-serif" w:hAnsi="Outfit;sans-serif"/>
          <w:i/>
          <w:color w:val="000000"/>
          <w:sz w:val="22"/>
        </w:rPr>
        <w:t>www.virtualshareholdermeeting.com/CARG2026</w:t>
      </w:r>
      <w:r>
        <w:rPr>
          <w:rFonts w:ascii="Outfit;sans-serif" w:hAnsi="Outfit;sans-serif"/>
          <w:color w:val="000000"/>
          <w:sz w:val="22"/>
        </w:rPr>
        <w:t xml:space="preserve">. If you are unable to join the live audio webcast, a recording will be available on </w:t>
      </w:r>
      <w:r>
        <w:rPr>
          <w:rFonts w:ascii="Outfit;sans-serif" w:hAnsi="Outfit;sans-serif"/>
          <w:i/>
          <w:color w:val="000000"/>
          <w:sz w:val="22"/>
        </w:rPr>
        <w:t>www.virtualshareholdermeeting.com</w:t>
      </w:r>
      <w:r>
        <w:rPr>
          <w:rFonts w:ascii="Times New Roman" w:hAnsi="Times New Roman"/>
          <w:color w:val="000000"/>
          <w:sz w:val="20"/>
        </w:rPr>
        <w:t xml:space="preserve"> </w:t>
      </w:r>
      <w:r>
        <w:rPr>
          <w:rFonts w:ascii="Outfit;sans-serif" w:hAnsi="Outfit;sans-serif"/>
          <w:color w:val="000000"/>
          <w:sz w:val="22"/>
        </w:rPr>
        <w:t>within 24 hours after the Annual Meeting concludes.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How many votes do I have?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On each matter to be voted upon, you have one vote for each share of Class A common stock and ten votes for each share of Class B common stock you owned as of April 10, 2026. The Class A common stock and Class B common stock will vote together as a single class on all proposals described in this proxy statement.</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is the difference between a stockholder of record and a beneficial owner of shares held in street name?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00"/>
          <w:sz w:val="22"/>
        </w:rPr>
        <w:t>S</w:t>
      </w:r>
      <w:r>
        <w:rPr>
          <w:rFonts w:ascii="Outfit;sans-serif" w:hAnsi="Outfit;sans-serif"/>
          <w:b/>
          <w:i/>
          <w:color w:val="00002D"/>
          <w:sz w:val="22"/>
        </w:rPr>
        <w:t xml:space="preserve">tockholders of Record: </w:t>
      </w:r>
      <w:r>
        <w:rPr>
          <w:rFonts w:ascii="Outfit;sans-serif" w:hAnsi="Outfit;sans-serif"/>
          <w:color w:val="000000"/>
          <w:sz w:val="22"/>
        </w:rPr>
        <w:t>If you hold shares directly in your name with our transfer agent, Broadridge Financial Solutions, Inc. (Broadridge), you are considered the “stockholder of record” with respect to those shares.</w:t>
      </w:r>
    </w:p>
    <w:p>
      <w:pPr>
        <w:pStyle w:val="TextBody"/>
        <w:bidi w:val="0"/>
        <w:spacing w:before="0" w:after="120"/>
        <w:jc w:val="both"/>
        <w:rPr>
          <w:color w:val="00002D"/>
        </w:rPr>
      </w:pPr>
      <w:r>
        <w:rPr>
          <w:color w:val="00002D"/>
        </w:rPr>
        <w:t>•</w:t>
      </w:r>
    </w:p>
    <w:p>
      <w:pPr>
        <w:pStyle w:val="TextBody"/>
        <w:bidi w:val="0"/>
        <w:spacing w:before="0" w:after="120"/>
        <w:jc w:val="both"/>
        <w:rPr/>
      </w:pPr>
      <w:r>
        <w:rPr>
          <w:rFonts w:ascii="Outfit;sans-serif" w:hAnsi="Outfit;sans-serif"/>
          <w:b/>
          <w:i/>
          <w:color w:val="00002D"/>
          <w:sz w:val="22"/>
        </w:rPr>
        <w:t>Beneficial Owner of Shares Held in Street Name:</w:t>
      </w:r>
      <w:r>
        <w:rPr>
          <w:color w:val="00002D"/>
        </w:rPr>
        <w:t xml:space="preserve"> </w:t>
      </w:r>
      <w:r>
        <w:rPr>
          <w:rFonts w:ascii="Outfit;sans-serif" w:hAnsi="Outfit;sans-serif"/>
          <w:color w:val="000000"/>
          <w:sz w:val="22"/>
        </w:rPr>
        <w:t>If your shares are held in an account at a broker or other nominee, you are the beneficial owner of shares held in street name. The organization holding your account is considered the stockholder of record, and as a beneficial owner, you have the right to instruct that organization on how to vote the shares held in your account. Your broker or other nominee may, under certain circumstances, vote your shares if you do not timely return your proxy.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How do I vote?</w:t>
      </w:r>
    </w:p>
    <w:p>
      <w:pPr>
        <w:pStyle w:val="TextBody"/>
        <w:bidi w:val="0"/>
        <w:spacing w:before="0" w:after="120"/>
        <w:jc w:val="both"/>
        <w:rPr>
          <w:rFonts w:ascii="Times New Roman" w:hAnsi="Times New Roman"/>
          <w:sz w:val="20"/>
        </w:rPr>
      </w:pPr>
      <w:r>
        <w:rPr>
          <w:rFonts w:ascii="Outfit;sans-serif" w:hAnsi="Outfit;sans-serif"/>
          <w:color w:val="000000"/>
          <w:sz w:val="22"/>
        </w:rPr>
        <w:t>If you are the</w:t>
      </w:r>
      <w:r>
        <w:rPr>
          <w:rFonts w:ascii="Times New Roman" w:hAnsi="Times New Roman"/>
          <w:color w:val="000000"/>
          <w:sz w:val="20"/>
        </w:rPr>
        <w:t xml:space="preserve"> </w:t>
      </w:r>
      <w:r>
        <w:rPr>
          <w:rFonts w:ascii="Outfit;sans-serif" w:hAnsi="Outfit;sans-serif"/>
          <w:b/>
          <w:color w:val="3465B0"/>
          <w:sz w:val="22"/>
        </w:rPr>
        <w:t>stockholder of record</w:t>
      </w:r>
      <w:r>
        <w:rPr>
          <w:rFonts w:ascii="Outfit;sans-serif" w:hAnsi="Outfit;sans-serif"/>
          <w:color w:val="000000"/>
          <w:sz w:val="22"/>
        </w:rPr>
        <w:t>, you may vote:</w:t>
      </w:r>
    </w:p>
    <w:p>
      <w:pPr>
        <w:pStyle w:val="TextBody"/>
        <w:bidi w:val="0"/>
        <w:spacing w:before="0" w:after="120"/>
        <w:jc w:val="both"/>
        <w:rPr>
          <w:color w:val="00002D"/>
        </w:rPr>
      </w:pPr>
      <w:r>
        <w:rPr>
          <w:color w:val="00002D"/>
        </w:rPr>
        <w:t>•</w:t>
      </w:r>
    </w:p>
    <w:p>
      <w:pPr>
        <w:pStyle w:val="TextBody"/>
        <w:bidi w:val="0"/>
        <w:spacing w:before="0" w:after="120"/>
        <w:jc w:val="both"/>
        <w:rPr/>
      </w:pPr>
      <w:r>
        <w:rPr>
          <w:rFonts w:ascii="Outfit;sans-serif" w:hAnsi="Outfit;sans-serif"/>
          <w:b/>
          <w:i/>
          <w:color w:val="00002D"/>
          <w:sz w:val="22"/>
        </w:rPr>
        <w:t>Over the Internet:</w:t>
      </w:r>
      <w:r>
        <w:rPr>
          <w:color w:val="00002D"/>
        </w:rPr>
        <w:t xml:space="preserve"> </w:t>
      </w:r>
      <w:r>
        <w:rPr>
          <w:rFonts w:ascii="Outfit;sans-serif" w:hAnsi="Outfit;sans-serif"/>
          <w:color w:val="000000"/>
          <w:sz w:val="22"/>
        </w:rPr>
        <w:t xml:space="preserve">You may submit a proxy over the internet at </w:t>
      </w:r>
      <w:r>
        <w:rPr>
          <w:rFonts w:ascii="Outfit;sans-serif" w:hAnsi="Outfit;sans-serif"/>
          <w:i/>
          <w:color w:val="000000"/>
          <w:sz w:val="22"/>
        </w:rPr>
        <w:t>www.proxyvote.com</w:t>
      </w:r>
      <w:r>
        <w:rPr>
          <w:color w:val="000000"/>
        </w:rPr>
        <w:t xml:space="preserve"> </w:t>
      </w:r>
      <w:r>
        <w:rPr>
          <w:rFonts w:ascii="Outfit;sans-serif" w:hAnsi="Outfit;sans-serif"/>
          <w:color w:val="000000"/>
          <w:sz w:val="22"/>
        </w:rPr>
        <w:t>24 hours a day, 7 days a week. Use the 16-digit control number printed on your Notice to access your account and vote your shares. You must specify how you want your shares voted, otherwise your internet vote cannot be completed and you will receive an error message. You must submit your internet proxy before 11:59 p.m. Eastern Time on June 2, 2026, for your proxy to be valid and your vote to count.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2D"/>
          <w:sz w:val="22"/>
        </w:rPr>
        <w:t>By Telephone:</w:t>
      </w:r>
      <w:r>
        <w:rPr>
          <w:color w:val="00002D"/>
        </w:rPr>
        <w:t xml:space="preserve"> </w:t>
      </w:r>
      <w:r>
        <w:rPr>
          <w:rFonts w:ascii="Outfit;sans-serif" w:hAnsi="Outfit;sans-serif"/>
          <w:color w:val="000000"/>
          <w:sz w:val="22"/>
        </w:rPr>
        <w:t xml:space="preserve">You may submit a proxy using a touch-tone telephone by calling 1-800-690-6903, 24 hours a day, 7 days a week. You must specify how you want your shares voted and confirm your vote at </w:t>
      </w:r>
    </w:p>
    <w:p>
      <w:pPr>
        <w:pStyle w:val="TextBody"/>
        <w:bidi w:val="0"/>
        <w:jc w:val="center"/>
        <w:rPr>
          <w:rFonts w:ascii="Outfit;sans-serif" w:hAnsi="Outfit;sans-serif"/>
          <w:color w:val="000000"/>
          <w:sz w:val="22"/>
        </w:rPr>
      </w:pPr>
      <w:r>
        <w:rPr>
          <w:rFonts w:ascii="Outfit;sans-serif" w:hAnsi="Outfit;sans-serif"/>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General Information About the Annual Meeting</w:t>
            </w:r>
          </w:p>
          <w:p>
            <w:pPr>
              <w:pStyle w:val="Heading1"/>
              <w:bidi w:val="0"/>
              <w:spacing w:before="240" w:after="283"/>
              <w:jc w:val="center"/>
              <w:rPr>
                <w:rFonts w:ascii="Outfit;sans-serif" w:hAnsi="Outfit;sans-serif"/>
                <w:color w:val="003A6F"/>
                <w:sz w:val="8"/>
              </w:rPr>
            </w:pPr>
            <w:r>
              <w:rPr>
                <w:rFonts w:ascii="Outfit;sans-serif" w:hAnsi="Outfit;sans-serif"/>
                <w:color w:val="003A6F"/>
                <w:sz w:val="8"/>
              </w:rPr>
              <w:t>ng</w:t>
            </w:r>
          </w:p>
        </w:tc>
      </w:tr>
    </w:tbl>
    <w:p>
      <w:pPr>
        <w:pStyle w:val="TextBody"/>
        <w:bidi w:val="0"/>
        <w:jc w:val="center"/>
        <w:rPr/>
      </w:pPr>
      <w:r>
        <w:rPr/>
        <w:t> </w:t>
      </w:r>
    </w:p>
    <w:p>
      <w:pPr>
        <w:pStyle w:val="TextBody"/>
        <w:bidi w:val="0"/>
        <w:spacing w:before="0" w:after="120"/>
        <w:jc w:val="both"/>
        <w:rPr/>
      </w:pPr>
      <w:r>
        <w:rPr>
          <w:rFonts w:ascii="Outfit;sans-serif" w:hAnsi="Outfit;sans-serif"/>
          <w:color w:val="000000"/>
          <w:sz w:val="22"/>
        </w:rPr>
        <w:t>the end of the call, otherwise your telephone vote cannot be completed. You must submit your telephonic proxy before 11:59 p.m. Eastern Time on June 2, 2026,</w:t>
      </w:r>
      <w:r>
        <w:rPr>
          <w:color w:val="000000"/>
        </w:rPr>
        <w:t xml:space="preserve"> </w:t>
      </w:r>
      <w:r>
        <w:rPr>
          <w:rFonts w:ascii="Outfit;sans-serif" w:hAnsi="Outfit;sans-serif"/>
          <w:color w:val="000000"/>
          <w:sz w:val="22"/>
        </w:rPr>
        <w:t>for your proxy to be valid and your vote to count.</w:t>
      </w:r>
    </w:p>
    <w:p>
      <w:pPr>
        <w:pStyle w:val="TextBody"/>
        <w:bidi w:val="0"/>
        <w:spacing w:before="0" w:after="120"/>
        <w:jc w:val="both"/>
        <w:rPr>
          <w:color w:val="00002D"/>
        </w:rPr>
      </w:pPr>
      <w:r>
        <w:rPr>
          <w:color w:val="00002D"/>
        </w:rPr>
        <w:t>•</w:t>
      </w:r>
    </w:p>
    <w:p>
      <w:pPr>
        <w:pStyle w:val="TextBody"/>
        <w:bidi w:val="0"/>
        <w:spacing w:before="0" w:after="120"/>
        <w:jc w:val="both"/>
        <w:rPr/>
      </w:pPr>
      <w:r>
        <w:rPr>
          <w:rFonts w:ascii="Outfit;sans-serif" w:hAnsi="Outfit;sans-serif"/>
          <w:b/>
          <w:i/>
          <w:color w:val="00002D"/>
          <w:sz w:val="22"/>
        </w:rPr>
        <w:t>By Mail:</w:t>
      </w:r>
      <w:r>
        <w:rPr>
          <w:color w:val="00002D"/>
        </w:rPr>
        <w:t xml:space="preserve"> </w:t>
      </w:r>
      <w:r>
        <w:rPr>
          <w:rFonts w:ascii="Outfit;sans-serif" w:hAnsi="Outfit;sans-serif"/>
          <w:color w:val="000000"/>
          <w:sz w:val="22"/>
        </w:rPr>
        <w:t>If you requested printed copies of the proxy materials, complete, date, and sign your enclosed proxy card and mail it in the enclosed postage prepaid envelope to Broadridge. Broadridge must receive the proxy card not later than June 2, 2026, for your proxy to be valid and your vote to count. If you mail in your proxy card but do not specify how you want your shares voted, they will be voted as recommended by the Board.</w:t>
      </w:r>
    </w:p>
    <w:p>
      <w:pPr>
        <w:pStyle w:val="TextBody"/>
        <w:bidi w:val="0"/>
        <w:spacing w:before="0" w:after="120"/>
        <w:jc w:val="both"/>
        <w:rPr>
          <w:color w:val="00002D"/>
        </w:rPr>
      </w:pPr>
      <w:r>
        <w:rPr>
          <w:color w:val="00002D"/>
        </w:rPr>
        <w:t>•</w:t>
      </w:r>
    </w:p>
    <w:p>
      <w:pPr>
        <w:pStyle w:val="TextBody"/>
        <w:bidi w:val="0"/>
        <w:spacing w:before="0" w:after="120"/>
        <w:jc w:val="both"/>
        <w:rPr/>
      </w:pPr>
      <w:r>
        <w:rPr>
          <w:rFonts w:ascii="Outfit;sans-serif" w:hAnsi="Outfit;sans-serif"/>
          <w:b/>
          <w:i/>
          <w:color w:val="00002D"/>
          <w:sz w:val="22"/>
        </w:rPr>
        <w:t>During the Annual Meeting via www.virtualshareholdermeeting.com/CARG2026:</w:t>
      </w:r>
      <w:r>
        <w:rPr>
          <w:color w:val="00002D"/>
        </w:rPr>
        <w:t xml:space="preserve"> </w:t>
      </w:r>
      <w:r>
        <w:rPr>
          <w:rFonts w:ascii="Outfit;sans-serif" w:hAnsi="Outfit;sans-serif"/>
          <w:color w:val="000000"/>
          <w:sz w:val="22"/>
        </w:rPr>
        <w:t>You may attend the Annual Meeting via the internet and vote during the Annual Meeting. Please have your Notice in hand when you access the website and then follow the instructions.</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If you are a </w:t>
      </w:r>
      <w:r>
        <w:rPr>
          <w:rFonts w:ascii="Outfit;sans-serif" w:hAnsi="Outfit;sans-serif"/>
          <w:b/>
          <w:color w:val="3465B0"/>
          <w:sz w:val="22"/>
        </w:rPr>
        <w:t>beneficial owner of shares held in street name</w:t>
      </w:r>
      <w:r>
        <w:rPr>
          <w:rFonts w:ascii="Outfit;sans-serif" w:hAnsi="Outfit;sans-serif"/>
          <w:color w:val="000000"/>
          <w:sz w:val="22"/>
        </w:rPr>
        <w:t>, you may vote:</w:t>
      </w:r>
    </w:p>
    <w:p>
      <w:pPr>
        <w:pStyle w:val="TextBody"/>
        <w:bidi w:val="0"/>
        <w:spacing w:before="0" w:after="120"/>
        <w:jc w:val="both"/>
        <w:rPr>
          <w:color w:val="00002D"/>
        </w:rPr>
      </w:pPr>
      <w:r>
        <w:rPr>
          <w:color w:val="00002D"/>
        </w:rPr>
        <w:t>•</w:t>
      </w:r>
    </w:p>
    <w:p>
      <w:pPr>
        <w:pStyle w:val="TextBody"/>
        <w:bidi w:val="0"/>
        <w:spacing w:before="0" w:after="120"/>
        <w:jc w:val="both"/>
        <w:rPr/>
      </w:pPr>
      <w:r>
        <w:rPr>
          <w:rFonts w:ascii="Outfit;sans-serif" w:hAnsi="Outfit;sans-serif"/>
          <w:b/>
          <w:i/>
          <w:color w:val="00002D"/>
          <w:sz w:val="22"/>
        </w:rPr>
        <w:t>Over the Internet or by Telephone:</w:t>
      </w:r>
      <w:r>
        <w:rPr>
          <w:color w:val="00002D"/>
        </w:rPr>
        <w:t xml:space="preserve"> </w:t>
      </w:r>
      <w:r>
        <w:rPr>
          <w:rFonts w:ascii="Outfit;sans-serif" w:hAnsi="Outfit;sans-serif"/>
          <w:color w:val="000000"/>
          <w:sz w:val="22"/>
        </w:rPr>
        <w:t>You will receive instructions from your broker or other nominee if they permit internet or telephonic voting. You should follow those instructions.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00"/>
          <w:sz w:val="22"/>
        </w:rPr>
        <w:t>By Mail:</w:t>
      </w:r>
      <w:r>
        <w:rPr>
          <w:color w:val="000000"/>
        </w:rPr>
        <w:t xml:space="preserve"> </w:t>
      </w:r>
      <w:r>
        <w:rPr>
          <w:rFonts w:ascii="Outfit;sans-serif" w:hAnsi="Outfit;sans-serif"/>
          <w:color w:val="000000"/>
          <w:sz w:val="22"/>
        </w:rPr>
        <w:t>You will receive instructions from your broker or other nominee explaining how you can vote your shares by mail. You should follow those instructions.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Outfit;sans-serif" w:hAnsi="Outfit;sans-serif"/>
          <w:b/>
          <w:i/>
          <w:color w:val="00002D"/>
          <w:sz w:val="22"/>
        </w:rPr>
        <w:t>During the Annual Meeting via www.virtualshareholdermeeting.com/CARG2026:</w:t>
      </w:r>
      <w:r>
        <w:rPr>
          <w:color w:val="00002D"/>
        </w:rPr>
        <w:t xml:space="preserve"> </w:t>
      </w:r>
      <w:r>
        <w:rPr>
          <w:rFonts w:ascii="Outfit;sans-serif" w:hAnsi="Outfit;sans-serif"/>
          <w:color w:val="000000"/>
          <w:sz w:val="22"/>
        </w:rPr>
        <w:t xml:space="preserve">You may contact your broker or other nominee who holds your shares to obtain a broker’s proxy. A broker’s proxy is not the form of proxy enclosed with this proxy statement. </w:t>
      </w:r>
      <w:r>
        <w:rPr>
          <w:rFonts w:ascii="Outfit;sans-serif" w:hAnsi="Outfit;sans-serif"/>
          <w:b/>
          <w:color w:val="000000"/>
          <w:sz w:val="22"/>
        </w:rPr>
        <w:t>You will not be able to vote shares you hold in street name via the internet during the Annual Meeting unless you have a proxy from your broker or other nominee issued in your name giving you the right to vote your shares.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Can I change my vote or revoke my proxy?</w:t>
      </w:r>
    </w:p>
    <w:p>
      <w:pPr>
        <w:pStyle w:val="TextBody"/>
        <w:bidi w:val="0"/>
        <w:spacing w:before="0" w:after="120"/>
        <w:jc w:val="both"/>
        <w:rPr>
          <w:rFonts w:ascii="Times New Roman" w:hAnsi="Times New Roman"/>
          <w:sz w:val="20"/>
        </w:rPr>
      </w:pPr>
      <w:r>
        <w:rPr>
          <w:rFonts w:ascii="Outfit;sans-serif" w:hAnsi="Outfit;sans-serif"/>
          <w:color w:val="000000"/>
          <w:sz w:val="22"/>
        </w:rPr>
        <w:t>If you are a</w:t>
      </w:r>
      <w:r>
        <w:rPr>
          <w:rFonts w:ascii="Times New Roman" w:hAnsi="Times New Roman"/>
          <w:color w:val="000000"/>
          <w:sz w:val="20"/>
        </w:rPr>
        <w:t xml:space="preserve"> </w:t>
      </w:r>
      <w:r>
        <w:rPr>
          <w:rFonts w:ascii="Outfit;sans-serif" w:hAnsi="Outfit;sans-serif"/>
          <w:b/>
          <w:color w:val="3465B0"/>
          <w:sz w:val="22"/>
        </w:rPr>
        <w:t>stockholder of record</w:t>
      </w:r>
      <w:r>
        <w:rPr>
          <w:rFonts w:ascii="Outfit;sans-serif" w:hAnsi="Outfit;sans-serif"/>
          <w:color w:val="000000"/>
          <w:sz w:val="22"/>
        </w:rPr>
        <w:t>, you may revoke your proxy and change your vote before or during the Annual Meeting by:</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submitting a later-dated vote via the internet or by telephone – only your latest internet or telephone proxy received by 11:59 p.m. Eastern Time on June 2, 2026, will be counted;</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signing and returning a new proxy card with a later date;</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participating in the Annual Meeting live via the internet and voting your shares electronically at the Annual Meeting; or</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delivering a written revocation to our Corporate Secretary at the address above to be received before the voting at the Annual Meeting.</w:t>
      </w:r>
    </w:p>
    <w:p>
      <w:pPr>
        <w:pStyle w:val="TextBody"/>
        <w:bidi w:val="0"/>
        <w:spacing w:before="0" w:after="120"/>
        <w:jc w:val="both"/>
        <w:rPr>
          <w:rFonts w:ascii="Times New Roman" w:hAnsi="Times New Roman"/>
          <w:sz w:val="20"/>
        </w:rPr>
      </w:pPr>
      <w:r>
        <w:rPr>
          <w:rFonts w:ascii="Outfit;sans-serif" w:hAnsi="Outfit;sans-serif"/>
          <w:color w:val="000000"/>
          <w:sz w:val="22"/>
        </w:rPr>
        <w:t xml:space="preserve">If you are a </w:t>
      </w:r>
      <w:r>
        <w:rPr>
          <w:rFonts w:ascii="Outfit;sans-serif" w:hAnsi="Outfit;sans-serif"/>
          <w:b/>
          <w:color w:val="3465B0"/>
          <w:sz w:val="22"/>
        </w:rPr>
        <w:t>beneficial owner of shares held in street name</w:t>
      </w:r>
      <w:r>
        <w:rPr>
          <w:rFonts w:ascii="Outfit;sans-serif" w:hAnsi="Outfit;sans-serif"/>
          <w:color w:val="000000"/>
          <w:sz w:val="22"/>
        </w:rPr>
        <w:t>, you may submit new voting instructions by contacting your broker or other nominee. You may also vote online during the Annual Meeting if you obtain a broker’s proxy as described in the answer above.</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happens if I am a beneficial owner of shares held in street name and I do not give voting instructions?</w:t>
      </w:r>
    </w:p>
    <w:p>
      <w:pPr>
        <w:pStyle w:val="TextBody"/>
        <w:bidi w:val="0"/>
        <w:spacing w:before="0" w:after="120"/>
        <w:jc w:val="both"/>
        <w:rPr>
          <w:rFonts w:ascii="Times New Roman" w:hAnsi="Times New Roman"/>
          <w:sz w:val="20"/>
        </w:rPr>
      </w:pPr>
      <w:r>
        <w:rPr>
          <w:rFonts w:ascii="Outfit;sans-serif" w:hAnsi="Outfit;sans-serif"/>
          <w:color w:val="000000"/>
          <w:sz w:val="22"/>
        </w:rPr>
        <w:t>If you are a beneficial owner of shares held in street name and do not provide your broker or other nominee with specific voting instructions, under stock exchange rules, your broker or other nominee may generally vote on routine matters but cannot vote on non-routine matters. Proposals 1 and 3 are considered non-routine matters. Therefore, if you do not instruct your broker or other nominee on how to vote on Proposals 1 and 3, your broker does not have the authority to vote on those proposals. This is generally referred to as a “broker non-vote.”</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General Information About the Annual Meeting</w:t>
            </w:r>
          </w:p>
          <w:p>
            <w:pPr>
              <w:pStyle w:val="Heading1"/>
              <w:bidi w:val="0"/>
              <w:spacing w:before="240" w:after="283"/>
              <w:jc w:val="center"/>
              <w:rPr>
                <w:rFonts w:ascii="Outfit;sans-serif" w:hAnsi="Outfit;sans-serif"/>
                <w:color w:val="003A6F"/>
                <w:sz w:val="8"/>
              </w:rPr>
            </w:pPr>
            <w:r>
              <w:rPr>
                <w:rFonts w:ascii="Outfit;sans-serif" w:hAnsi="Outfit;sans-serif"/>
                <w:color w:val="003A6F"/>
                <w:sz w:val="8"/>
              </w:rPr>
              <w:t>ng</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Proposal 2 is considered a routine matter and therefore your broker or other nominee may vote your shares on this proposal according to your broker’s discretion.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encourage you to provide voting instructions to your broker or other nominee. This ensures that your shares will be voted at the Annual Meeting according to your instructions. You should receive directions from your brokerage firm or other nominee about how to submit your voting instructions.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if I return a proxy card or otherwise vote but do not make specific choices?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you return a signed and dated proxy card or otherwise vote without marking voting selections, your shares will be voted, as applicable, “FOR” the election of the nominees for director as described in Proposal 1, “FOR” the ratification of the appointment of Ernst &amp; Young as our independent registered public accounting firm for the year ending December 31, 2026, as described in Proposal 2, and “FOR” the approval, on a non-binding advisory basis, of the compensation of our named executive officers for 2025 as described in Proposal 3. If any other matter is properly presented at the Annual Meeting, the persons named in the accompanying proxy intend to vote your shares in accordance with their judgment on the matter.</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How many shares must be present to hold the Annual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Shares representing a majority of the votes applicable to all of our shares of common stock issued and outstanding and entitled to vote will constitute a quorum for the transaction of business at the Annual Meeting and any adjournments or postponements thereof. For purposes of determining whether a quorum exists, we count as present any shares that are voted over the internet, by telephone, or by completion and submission of a proxy or that are represented virtually at the Annual Meeting. Further, for purposes of establishing a quorum, we will count as present shares that a stockholder holds even if the stockholder votes to withhold or abstain or votes on only one of the proposals. In addition, broker non-votes will count as present in determining whether there is a quorum. If a quorum is not present, we expect to adjourn the Annual Meeting until we obtain a quorum.</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Are there other matters to be voted on at the Annual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do not know of any matters that may come before the Annual Meeting other than the election of the two Class III directors, the ratification of the appointment of our independent registered public accounting firm, and the non-binding advisory vote to approve the compensation of our named executive officers for 2025. If any other matters are properly presented at the Annual Meeting, the persons named in the accompanying proxy will vote, and otherwise act, in accordance with their judgment on the matter.</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Is my vote confidential?</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Proxy instructions, ballots, and voting tabulations that identify individual stockholders are handled in a manner that protects your voting privacy. Your vote will not be disclosed either within CarGurus or to third parties, except as necessary to meet applicable legal requirements, to allow for the tabulation of votes and certification of the vote, or to facilitate a successful proxy solicitation.</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does it mean if I receive more than one Notice?</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you receive more than one Notice, your shares may be registered in more than one name or in different accounts. Please follow the voting instructions on each of the Notices to ensure that all of your shares are voted.</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happens if the Annual Meeting is postponed or adjourned?</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Your proxy may be voted at the postponed or adjourned meeting. You will still be able to change your proxy until it is voted.</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Who will count the votes?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votes will be counted, tabulated, and certified by Broadridge.</w:t>
      </w:r>
    </w:p>
    <w:p>
      <w:pPr>
        <w:pStyle w:val="TextBody"/>
        <w:bidi w:val="0"/>
        <w:jc w:val="center"/>
        <w:rPr>
          <w:rFonts w:ascii="Outfit;sans-serif" w:hAnsi="Outfit;sans-serif"/>
          <w:color w:val="000000"/>
          <w:sz w:val="22"/>
        </w:rPr>
      </w:pPr>
      <w:r>
        <w:rPr>
          <w:rFonts w:ascii="Outfit;sans-serif" w:hAnsi="Outfit;sans-serif"/>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General Information About the Annual Meeting</w:t>
            </w:r>
          </w:p>
          <w:p>
            <w:pPr>
              <w:pStyle w:val="Heading1"/>
              <w:bidi w:val="0"/>
              <w:spacing w:before="240" w:after="283"/>
              <w:jc w:val="center"/>
              <w:rPr>
                <w:rFonts w:ascii="Outfit;sans-serif" w:hAnsi="Outfit;sans-serif"/>
                <w:color w:val="003A6F"/>
                <w:sz w:val="8"/>
              </w:rPr>
            </w:pPr>
            <w:r>
              <w:rPr>
                <w:rFonts w:ascii="Outfit;sans-serif" w:hAnsi="Outfit;sans-serif"/>
                <w:color w:val="003A6F"/>
                <w:sz w:val="8"/>
              </w:rPr>
              <w:t>ng</w:t>
            </w:r>
          </w:p>
        </w:tc>
      </w:tr>
    </w:tbl>
    <w:p>
      <w:pPr>
        <w:pStyle w:val="TextBody"/>
        <w:bidi w:val="0"/>
        <w:jc w:val="center"/>
        <w:rPr/>
      </w:pPr>
      <w:r>
        <w:rPr/>
        <w:t> </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Where can I find the voting results?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Preliminary voting results will be announced at the Annual Meeting. Final voting results will be tallied by the inspector of election and published in a Current Report on Form 8-K to be filed with the SEC within four business days after the Annual Meeting.</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What are the costs of soliciting these proxies?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will bear all expenses of this solicitation, including the cost of preparing and mailing these proxy materials. Directors, officers, and employees of CarGurus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Whom may I contact if I have any additional questions?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you hold your shares directly, please call the Company’s Legal Department at (617) 354-0068. If your shares are held in street name, please contact the telephone number provided on your voting instruction form or contact your broker or other nominee holder directly.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Whom do I contact if I experience technical difficulties trying to access or during the Annual Meeting?</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you have technical difficulties when accessing the Annual Meeting, there will be technicians available to assist you. If you encounter any technical difficulties accessing the virtual meeting during the Annual Meeting, please call the technical support number that will be posted on the Annual Meeting log-in page.</w:t>
      </w:r>
    </w:p>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Additional Information</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120" w:after="120"/>
        <w:jc w:val="both"/>
        <w:rPr>
          <w:rFonts w:ascii="Times New Roman" w:hAnsi="Times New Roman"/>
          <w:sz w:val="20"/>
        </w:rPr>
      </w:pPr>
      <w:bookmarkStart w:id="28" w:name="additional_information"/>
      <w:bookmarkEnd w:id="28"/>
      <w:r>
        <w:rPr>
          <w:rFonts w:ascii="Outfit;sans-serif" w:hAnsi="Outfit;sans-serif"/>
          <w:b/>
          <w:color w:val="00002D"/>
          <w:sz w:val="32"/>
        </w:rPr>
        <w:t>C</w:t>
      </w:r>
      <w:bookmarkStart w:id="29" w:name="certain_relationships_and_related_party"/>
      <w:bookmarkEnd w:id="29"/>
      <w:r>
        <w:rPr>
          <w:rFonts w:ascii="Outfit;sans-serif" w:hAnsi="Outfit;sans-serif"/>
          <w:b/>
          <w:color w:val="00002D"/>
          <w:sz w:val="32"/>
        </w:rPr>
        <w:t>ertain Relationships and Related Party Transactions</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Policies and Procedures for Related Person Transactions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Board has adopted a written policy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a related person proposes to enter into such a transaction, arrangement, or relationship, which we refer to as a related person transaction, the related person must report the proposed related person transaction to our Corporate Secretary. The policy calls for the proposed related person transaction to be reviewed and, if deemed appropriate, approved by the Audit Committee. Whenever practicable, the reporting, review, and approval will occur prior to entry into the proposed related person transaction.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advance review and approval by the Audit Committee is not practicable, the Chair of the Audit Committee will review and, if deemed appropriate, approve proposed related person transactions that arise between committee meetings, notifying the Audit Committee at its next meeting of such related person transactions. If we become aware that a related person transaction has not been approved under the policy, the Audit Committee will review, and, in its discretion, may ratify the related person transaction. The Audit Committee may approve or ratify the related person transaction if it determines that, under all of the circumstances, the related person transaction is in, or is not inconsistent with, our best interests. The Audit Committee may impose any conditions on the related person transaction that it deems appropriate. The policy also provides that any related person transactions that are ongoing in nature will be reviewed annually.</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 related person transaction reviewed under the policy will be considered approved or ratified if it is authorized by the Audit Committee after full disclosure of the related person’s interest in the related person transaction. As appropriate for the circumstances, the Audit Committee will review and consider:</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related person’s interest in the related person transaction;</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approximate dollar value of the amount involved in the related person transaction;</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whether the related person transaction would impair the independence of an otherwise independent director or nominee for director;</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whether the related person transaction is undertaken in the ordinary course of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whether the terms of the related person transaction are no less favorable to us than terms that could have been reached with an unrelated third party;</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purpose, timing, and the potential benefits to us of the related person transaction; and</w:t>
      </w:r>
    </w:p>
    <w:p>
      <w:pPr>
        <w:pStyle w:val="TextBody"/>
        <w:bidi w:val="0"/>
        <w:spacing w:before="0" w:after="120"/>
        <w:jc w:val="both"/>
        <w:rPr>
          <w:color w:val="000000"/>
        </w:rPr>
      </w:pPr>
      <w:r>
        <w:rPr>
          <w:color w:val="000000"/>
        </w:rPr>
        <w:t>•</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any other information regarding the related person transaction or the related person in the context of the proposed related person transaction that would be material to investors in light of the circumstances of the particular transaction.</w:t>
      </w:r>
    </w:p>
    <w:p>
      <w:pPr>
        <w:pStyle w:val="TextBody"/>
        <w:bidi w:val="0"/>
        <w:spacing w:before="0" w:after="120"/>
        <w:jc w:val="both"/>
        <w:rPr>
          <w:rFonts w:ascii="Times New Roman" w:hAnsi="Times New Roman"/>
          <w:sz w:val="20"/>
        </w:rPr>
      </w:pPr>
      <w:r>
        <w:rPr>
          <w:rFonts w:ascii="Outfit;sans-serif" w:hAnsi="Outfit;sans-serif"/>
          <w:color w:val="000000"/>
          <w:sz w:val="22"/>
        </w:rPr>
        <w:t>In addition to the transactions that are excluded by the instructions to the SEC’s related person transaction disclosure rule, the Board has determined that the following transaction, among others, does not create a material direct or indirect interest on behalf of related persons and, therefore, is not a related person transaction for purposes of our policy: interests arising solely from the related person’s position as an employee (other than an executive officer) or director of another entity that is a participant in the transaction, when (a) the related person and all other related persons own in the aggregate less than a 10% equity interest in such</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Additional Information</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entity and (b) the amount involved in the related person transaction equals less than the greater of $1.0 million or 2% of the annual total annual revenue of the other entity that is a party to the related person transaction.</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Related Person Transactions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We have entered into indemnification agreements with all of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the Company or that person’s status as a member of the Board to the maximum extent allowed under the Delaware General Corporation Law.</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Other than the indemnification agreements disclosed in the preceding paragraph, we had no related person transactions in 2025 and no related person transactions are currently proposed.</w:t>
      </w:r>
    </w:p>
    <w:p>
      <w:pPr>
        <w:pStyle w:val="TextBody"/>
        <w:bidi w:val="0"/>
        <w:spacing w:before="0" w:after="120"/>
        <w:jc w:val="both"/>
        <w:rPr>
          <w:rFonts w:ascii="Outfit;sans-serif" w:hAnsi="Outfit;sans-serif"/>
          <w:b/>
          <w:color w:val="00002D"/>
          <w:sz w:val="32"/>
        </w:rPr>
      </w:pPr>
      <w:bookmarkStart w:id="30" w:name="equity_compensation_plan_information"/>
      <w:bookmarkEnd w:id="30"/>
      <w:r>
        <w:rPr>
          <w:rFonts w:ascii="Outfit;sans-serif" w:hAnsi="Outfit;sans-serif"/>
          <w:b/>
          <w:color w:val="00002D"/>
          <w:sz w:val="32"/>
        </w:rPr>
        <w:t>Equity Compensation Plan Information</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The following table provides information as of December 31, 2025, with respect to the shares of our Class A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2319"/>
        <w:gridCol w:w="2444"/>
        <w:gridCol w:w="2301"/>
        <w:gridCol w:w="3141"/>
      </w:tblGrid>
      <w:tr>
        <w:trPr/>
        <w:tc>
          <w:tcPr>
            <w:tcW w:w="231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2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Number of Securities to be Issued Upon Exercise of Outstanding Options, Warrants and Rights</w:t>
            </w:r>
            <w:r>
              <w:rPr>
                <w:rFonts w:ascii="Times New Roman" w:hAnsi="Times New Roman"/>
                <w:color w:val="3465B0"/>
                <w:sz w:val="22"/>
              </w:rPr>
              <w:t xml:space="preserve"> </w:t>
            </w:r>
          </w:p>
        </w:tc>
        <w:tc>
          <w:tcPr>
            <w:tcW w:w="2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Weighted Average Exercise Price of Outstanding Options, Warrants and Rights</w:t>
            </w:r>
            <w:r>
              <w:rPr>
                <w:rFonts w:ascii="Times New Roman" w:hAnsi="Times New Roman"/>
                <w:color w:val="3465B0"/>
                <w:sz w:val="22"/>
              </w:rPr>
              <w:t xml:space="preserve"> </w:t>
            </w:r>
          </w:p>
        </w:tc>
        <w:tc>
          <w:tcPr>
            <w:tcW w:w="3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Number of Securities Remaining Available for Future Issuance Under Equity Compensation Plans (Excluding Securities Reflected in Column (a))</w:t>
            </w:r>
            <w:r>
              <w:rPr>
                <w:rFonts w:ascii="Times New Roman" w:hAnsi="Times New Roman"/>
                <w:color w:val="3465B0"/>
                <w:sz w:val="22"/>
              </w:rPr>
              <w:t xml:space="preserve"> </w:t>
            </w:r>
          </w:p>
        </w:tc>
      </w:tr>
      <w:tr>
        <w:trPr/>
        <w:tc>
          <w:tcPr>
            <w:tcW w:w="2319" w:type="dxa"/>
            <w:tcBorders>
              <w:bottom w:val="single" w:sz="12" w:space="0" w:color="3565B0"/>
            </w:tcBorders>
            <w:tcMar>
              <w:top w:w="0" w:type="dxa"/>
              <w:left w:w="0" w:type="dxa"/>
              <w:right w:w="0" w:type="dxa"/>
            </w:tcMar>
            <w:vAlign w:val="center"/>
          </w:tcPr>
          <w:p>
            <w:pPr>
              <w:pStyle w:val="TableContents"/>
              <w:bidi w:val="0"/>
              <w:spacing w:before="0" w:after="283"/>
              <w:jc w:val="left"/>
              <w:rPr>
                <w:rFonts w:ascii="Outfit;sans-serif" w:hAnsi="Outfit;sans-serif"/>
                <w:b/>
                <w:color w:val="3465B0"/>
                <w:sz w:val="22"/>
              </w:rPr>
            </w:pPr>
            <w:r>
              <w:rPr>
                <w:rFonts w:ascii="Outfit;sans-serif" w:hAnsi="Outfit;sans-serif"/>
                <w:b/>
                <w:color w:val="3465B0"/>
                <w:sz w:val="22"/>
              </w:rPr>
              <w:t>Plan Category</w:t>
            </w:r>
          </w:p>
        </w:tc>
        <w:tc>
          <w:tcPr>
            <w:tcW w:w="2444"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Outfit;sans-serif" w:hAnsi="Outfit;sans-serif"/>
                <w:b/>
                <w:color w:val="3465B0"/>
                <w:sz w:val="22"/>
              </w:rPr>
            </w:pPr>
            <w:r>
              <w:rPr>
                <w:rFonts w:ascii="Outfit;sans-serif" w:hAnsi="Outfit;sans-serif"/>
                <w:b/>
                <w:color w:val="3465B0"/>
                <w:sz w:val="22"/>
              </w:rPr>
              <w:t>(a)</w:t>
            </w:r>
          </w:p>
        </w:tc>
        <w:tc>
          <w:tcPr>
            <w:tcW w:w="2301" w:type="dxa"/>
            <w:tcBorders>
              <w:bottom w:val="single" w:sz="12" w:space="0" w:color="3565B0"/>
            </w:tcBorders>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Outfit;sans-serif" w:hAnsi="Outfit;sans-serif"/>
                <w:b/>
                <w:color w:val="3465B0"/>
                <w:sz w:val="22"/>
              </w:rPr>
              <w:t>(b)</w:t>
            </w:r>
            <w:r>
              <w:rPr>
                <w:rFonts w:ascii="Outfit;sans-serif" w:hAnsi="Outfit;sans-serif"/>
                <w:b/>
                <w:color w:val="3465B0"/>
                <w:sz w:val="15"/>
              </w:rPr>
              <w:t>(1)</w:t>
            </w:r>
          </w:p>
        </w:tc>
        <w:tc>
          <w:tcPr>
            <w:tcW w:w="3141" w:type="dxa"/>
            <w:tcBorders>
              <w:bottom w:val="single" w:sz="12" w:space="0" w:color="3565B0"/>
            </w:tcBorders>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3465B0"/>
                <w:sz w:val="22"/>
              </w:rPr>
            </w:pPr>
            <w:r>
              <w:rPr>
                <w:rFonts w:ascii="Outfit;sans-serif" w:hAnsi="Outfit;sans-serif"/>
                <w:b/>
                <w:color w:val="3465B0"/>
                <w:sz w:val="22"/>
              </w:rPr>
              <w:t>(c)</w:t>
            </w:r>
          </w:p>
        </w:tc>
      </w:tr>
      <w:tr>
        <w:trPr/>
        <w:tc>
          <w:tcPr>
            <w:tcW w:w="2319"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Equity compensation plans approved by stockholders</w:t>
            </w:r>
          </w:p>
        </w:tc>
        <w:tc>
          <w:tcPr>
            <w:tcW w:w="2444" w:type="dxa"/>
            <w:tcBorders/>
            <w:shd w:fill="D9E1EB"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22"/>
              </w:rPr>
            </w:pPr>
            <w:r>
              <w:rPr>
                <w:rFonts w:ascii="Outfit;sans-serif" w:hAnsi="Outfit;sans-serif"/>
                <w:color w:val="000000"/>
                <w:sz w:val="22"/>
              </w:rPr>
              <w:t>4,590,540</w:t>
            </w:r>
            <w:r>
              <w:rPr>
                <w:rFonts w:ascii="Outfit;sans-serif" w:hAnsi="Outfit;sans-serif"/>
                <w:color w:val="000000"/>
                <w:sz w:val="15"/>
              </w:rPr>
              <w:t>(2)</w:t>
            </w:r>
          </w:p>
        </w:tc>
        <w:tc>
          <w:tcPr>
            <w:tcW w:w="2301"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$35.16</w:t>
            </w:r>
          </w:p>
        </w:tc>
        <w:tc>
          <w:tcPr>
            <w:tcW w:w="3141" w:type="dxa"/>
            <w:tcBorders/>
            <w:shd w:fill="D9E1EB" w:val="clear"/>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sz w:val="22"/>
              </w:rPr>
            </w:pPr>
            <w:r>
              <w:rPr>
                <w:rFonts w:ascii="Outfit;sans-serif" w:hAnsi="Outfit;sans-serif"/>
                <w:color w:val="000000"/>
                <w:sz w:val="22"/>
              </w:rPr>
              <w:t>7,955,981</w:t>
            </w:r>
            <w:r>
              <w:rPr>
                <w:rFonts w:ascii="Outfit;sans-serif" w:hAnsi="Outfit;sans-serif"/>
                <w:color w:val="000000"/>
                <w:sz w:val="15"/>
              </w:rPr>
              <w:t>(3)</w:t>
            </w:r>
          </w:p>
        </w:tc>
      </w:tr>
      <w:tr>
        <w:trPr/>
        <w:tc>
          <w:tcPr>
            <w:tcW w:w="23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Equity compensation plans not approved by stockholders</w:t>
            </w:r>
          </w:p>
        </w:tc>
        <w:tc>
          <w:tcPr>
            <w:tcW w:w="2444" w:type="dxa"/>
            <w:tcBorders>
              <w:bottom w:val="single" w:sz="4" w:space="0" w:color="000000"/>
            </w:tcBorders>
            <w:tcMar>
              <w:top w:w="0" w:type="dxa"/>
              <w:left w:w="0" w:type="dxa"/>
              <w:right w:w="0" w:type="dxa"/>
            </w:tcMar>
            <w:vAlign w:val="center"/>
          </w:tcPr>
          <w:p>
            <w:pPr>
              <w:pStyle w:val="TableContents"/>
              <w:bidi w:val="0"/>
              <w:spacing w:before="0" w:after="20"/>
              <w:jc w:val="center"/>
              <w:rPr>
                <w:color w:val="000000"/>
              </w:rPr>
            </w:pPr>
            <w:r>
              <w:rPr>
                <w:color w:val="000000"/>
              </w:rPr>
              <w:t>—</w:t>
            </w:r>
          </w:p>
        </w:tc>
        <w:tc>
          <w:tcPr>
            <w:tcW w:w="2301" w:type="dxa"/>
            <w:tcBorders>
              <w:bottom w:val="single" w:sz="4" w:space="0" w:color="000000"/>
            </w:tcBorders>
            <w:tcMar>
              <w:top w:w="0" w:type="dxa"/>
              <w:left w:w="0" w:type="dxa"/>
              <w:right w:w="0" w:type="dxa"/>
            </w:tcMar>
            <w:vAlign w:val="center"/>
          </w:tcPr>
          <w:p>
            <w:pPr>
              <w:pStyle w:val="TableContents"/>
              <w:bidi w:val="0"/>
              <w:spacing w:before="0" w:after="20"/>
              <w:jc w:val="center"/>
              <w:rPr>
                <w:color w:val="000000"/>
              </w:rPr>
            </w:pPr>
            <w:r>
              <w:rPr>
                <w:color w:val="000000"/>
              </w:rPr>
              <w:t>—</w:t>
            </w:r>
          </w:p>
        </w:tc>
        <w:tc>
          <w:tcPr>
            <w:tcW w:w="3141"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color w:val="000000"/>
              </w:rPr>
            </w:pPr>
            <w:r>
              <w:rPr>
                <w:color w:val="000000"/>
              </w:rPr>
              <w:t>—</w:t>
            </w:r>
          </w:p>
        </w:tc>
      </w:tr>
      <w:tr>
        <w:trPr/>
        <w:tc>
          <w:tcPr>
            <w:tcW w:w="2319" w:type="dxa"/>
            <w:tcBorders/>
            <w:shd w:fill="D9E1EB" w:val="clear"/>
            <w:tcMar>
              <w:top w:w="0" w:type="dxa"/>
              <w:left w:w="0" w:type="dxa"/>
              <w:bottom w:w="0" w:type="dxa"/>
              <w:right w:w="0" w:type="dxa"/>
            </w:tcMar>
            <w:vAlign w:val="center"/>
          </w:tcPr>
          <w:p>
            <w:pPr>
              <w:pStyle w:val="TableContents"/>
              <w:bidi w:val="0"/>
              <w:spacing w:before="0" w:after="283"/>
              <w:ind w:left="0" w:right="0" w:firstLine="240"/>
              <w:jc w:val="left"/>
              <w:rPr>
                <w:rFonts w:ascii="Outfit;sans-serif" w:hAnsi="Outfit;sans-serif"/>
                <w:color w:val="000000"/>
                <w:sz w:val="22"/>
              </w:rPr>
            </w:pPr>
            <w:r>
              <w:rPr>
                <w:rFonts w:ascii="Outfit;sans-serif" w:hAnsi="Outfit;sans-serif"/>
                <w:color w:val="000000"/>
                <w:sz w:val="22"/>
              </w:rPr>
              <w:t>Total</w:t>
            </w:r>
          </w:p>
        </w:tc>
        <w:tc>
          <w:tcPr>
            <w:tcW w:w="2444" w:type="dxa"/>
            <w:tcBorders/>
            <w:shd w:fill="D9E1EB"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22"/>
              </w:rPr>
            </w:pPr>
            <w:r>
              <w:rPr>
                <w:rFonts w:ascii="Outfit;sans-serif" w:hAnsi="Outfit;sans-serif"/>
                <w:color w:val="000000"/>
                <w:sz w:val="22"/>
              </w:rPr>
              <w:t>4,590,540</w:t>
            </w:r>
            <w:r>
              <w:rPr>
                <w:rFonts w:ascii="Times New Roman" w:hAnsi="Times New Roman"/>
                <w:color w:val="000000"/>
                <w:sz w:val="22"/>
              </w:rPr>
              <w:t> </w:t>
            </w:r>
            <w:r>
              <w:rPr>
                <w:rFonts w:ascii="Outfit;sans-serif" w:hAnsi="Outfit;sans-serif"/>
                <w:color w:val="000000"/>
                <w:sz w:val="15"/>
              </w:rPr>
              <w:t>(2)</w:t>
            </w:r>
          </w:p>
        </w:tc>
        <w:tc>
          <w:tcPr>
            <w:tcW w:w="2301" w:type="dxa"/>
            <w:tcBorders/>
            <w:shd w:fill="D9E1EB" w:val="clear"/>
            <w:tcMar>
              <w:top w:w="0" w:type="dxa"/>
              <w:left w:w="0" w:type="dxa"/>
              <w:bottom w:w="0" w:type="dxa"/>
              <w:right w:w="0" w:type="dxa"/>
            </w:tcMar>
            <w:vAlign w:val="center"/>
          </w:tcPr>
          <w:p>
            <w:pPr>
              <w:pStyle w:val="TableContents"/>
              <w:bidi w:val="0"/>
              <w:spacing w:before="0" w:after="20"/>
              <w:jc w:val="center"/>
              <w:rPr>
                <w:rFonts w:ascii="Outfit;sans-serif" w:hAnsi="Outfit;sans-serif"/>
                <w:color w:val="000000"/>
                <w:sz w:val="22"/>
              </w:rPr>
            </w:pPr>
            <w:r>
              <w:rPr>
                <w:rFonts w:ascii="Outfit;sans-serif" w:hAnsi="Outfit;sans-serif"/>
                <w:color w:val="000000"/>
                <w:sz w:val="22"/>
              </w:rPr>
              <w:t>$35.16</w:t>
            </w:r>
          </w:p>
        </w:tc>
        <w:tc>
          <w:tcPr>
            <w:tcW w:w="3141" w:type="dxa"/>
            <w:tcBorders/>
            <w:shd w:fill="D9E1EB" w:val="clear"/>
            <w:tcMar>
              <w:top w:w="0" w:type="dxa"/>
              <w:left w:w="0" w:type="dxa"/>
              <w:bottom w:w="0" w:type="dxa"/>
              <w:right w:w="0" w:type="dxa"/>
            </w:tcMar>
            <w:vAlign w:val="center"/>
          </w:tcPr>
          <w:p>
            <w:pPr>
              <w:pStyle w:val="TableContents"/>
              <w:bidi w:val="0"/>
              <w:spacing w:before="0" w:after="20"/>
              <w:jc w:val="center"/>
              <w:rPr>
                <w:rFonts w:ascii="Times New Roman" w:hAnsi="Times New Roman"/>
                <w:sz w:val="22"/>
              </w:rPr>
            </w:pPr>
            <w:r>
              <w:rPr>
                <w:rFonts w:ascii="Outfit;sans-serif" w:hAnsi="Outfit;sans-serif"/>
                <w:color w:val="000000"/>
                <w:sz w:val="22"/>
              </w:rPr>
              <w:t>7,955,981</w:t>
            </w:r>
            <w:r>
              <w:rPr>
                <w:rFonts w:ascii="Outfit;sans-serif" w:hAnsi="Outfit;sans-serif"/>
                <w:color w:val="000000"/>
                <w:sz w:val="15"/>
              </w:rPr>
              <w:t>(3)</w:t>
            </w:r>
          </w:p>
        </w:tc>
      </w:tr>
      <w:tr>
        <w:trPr/>
        <w:tc>
          <w:tcPr>
            <w:tcW w:w="2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rFonts w:ascii="Outfit" w:hAnsi="Outfit"/>
          <w:color w:val="000000"/>
          <w:sz w:val="20"/>
        </w:rPr>
      </w:pPr>
      <w:r>
        <w:rPr>
          <w:rFonts w:ascii="Outfit" w:hAnsi="Outfit"/>
          <w:color w:val="000000"/>
          <w:sz w:val="20"/>
        </w:rPr>
        <w:t>(1)</w:t>
      </w:r>
    </w:p>
    <w:p>
      <w:pPr>
        <w:pStyle w:val="TextBody"/>
        <w:bidi w:val="0"/>
        <w:spacing w:before="120" w:after="120"/>
        <w:jc w:val="both"/>
        <w:rPr>
          <w:rFonts w:ascii="Outfit;sans-serif" w:hAnsi="Outfit;sans-serif"/>
          <w:color w:val="000000"/>
          <w:sz w:val="20"/>
        </w:rPr>
      </w:pPr>
      <w:r>
        <w:rPr>
          <w:rFonts w:ascii="Outfit;sans-serif" w:hAnsi="Outfit;sans-serif"/>
          <w:color w:val="000000"/>
          <w:sz w:val="20"/>
        </w:rPr>
        <w:t>The weighted average exercise price excludes RSU awards, which have no exercise price.</w:t>
      </w:r>
    </w:p>
    <w:p>
      <w:pPr>
        <w:pStyle w:val="TextBody"/>
        <w:bidi w:val="0"/>
        <w:spacing w:before="0" w:after="120"/>
        <w:jc w:val="both"/>
        <w:rPr>
          <w:rFonts w:ascii="Outfit" w:hAnsi="Outfit"/>
          <w:color w:val="000000"/>
          <w:sz w:val="20"/>
        </w:rPr>
      </w:pPr>
      <w:r>
        <w:rPr>
          <w:rFonts w:ascii="Outfit" w:hAnsi="Outfit"/>
          <w:color w:val="000000"/>
          <w:sz w:val="20"/>
        </w:rPr>
        <w:t>(2)</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Consists of options to purchase a total of 368,808 shares of our Class A common stock and 4,221,732 shares of our Class A common stock subject to outstanding RSU awards granted under the 2017 Plan and our Amended and Restated 2015 Equity Incentive Plan.</w:t>
      </w:r>
    </w:p>
    <w:p>
      <w:pPr>
        <w:pStyle w:val="TextBody"/>
        <w:bidi w:val="0"/>
        <w:spacing w:before="0" w:after="120"/>
        <w:jc w:val="both"/>
        <w:rPr>
          <w:rFonts w:ascii="Outfit" w:hAnsi="Outfit"/>
          <w:color w:val="000000"/>
          <w:sz w:val="20"/>
        </w:rPr>
      </w:pPr>
      <w:r>
        <w:rPr>
          <w:rFonts w:ascii="Outfit" w:hAnsi="Outfit"/>
          <w:color w:val="000000"/>
          <w:sz w:val="20"/>
        </w:rPr>
        <w:t>(3)</w:t>
      </w:r>
    </w:p>
    <w:p>
      <w:pPr>
        <w:pStyle w:val="TextBody"/>
        <w:bidi w:val="0"/>
        <w:spacing w:before="0" w:after="120"/>
        <w:jc w:val="both"/>
        <w:rPr>
          <w:rFonts w:ascii="Outfit;sans-serif" w:hAnsi="Outfit;sans-serif"/>
          <w:color w:val="000000"/>
          <w:sz w:val="20"/>
        </w:rPr>
      </w:pPr>
      <w:r>
        <w:rPr>
          <w:rFonts w:ascii="Outfit;sans-serif" w:hAnsi="Outfit;sans-serif"/>
          <w:color w:val="000000"/>
          <w:sz w:val="20"/>
        </w:rPr>
        <w:t>Unless determined otherwise by the Compensation Committee, the number of shares of our Class A common stock reserved for issuance under the 2017 Plan will automatically increase on the first trading day in January of each year by the lesser of (i) 6.0 million shares or (ii) 4.0% of the total number of shares of our Class A common stock outstanding on December 31 of the preceding calendar year, or a lesser number of shares determined by the Board (the Evergreen Increase). The Compensation Committee determined to not effectuate the Evergreen Increase that was otherwise scheduled to have occurred on January 2, 2026.</w:t>
      </w:r>
    </w:p>
    <w:p>
      <w:pPr>
        <w:pStyle w:val="TextBody"/>
        <w:bidi w:val="0"/>
        <w:jc w:val="center"/>
        <w:rPr>
          <w:rFonts w:ascii="Outfit;sans-serif" w:hAnsi="Outfit;sans-serif"/>
          <w:color w:val="000000"/>
          <w:sz w:val="22"/>
        </w:rPr>
      </w:pPr>
      <w:r>
        <w:rPr>
          <w:rFonts w:ascii="Outfit;sans-serif" w:hAnsi="Outfit;sans-serif"/>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Additional Information</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b/>
          <w:color w:val="00002D"/>
          <w:sz w:val="32"/>
        </w:rPr>
      </w:pPr>
      <w:bookmarkStart w:id="31" w:name="miscellaneous"/>
      <w:bookmarkEnd w:id="31"/>
      <w:r>
        <w:rPr>
          <w:rFonts w:ascii="Outfit;sans-serif" w:hAnsi="Outfit;sans-serif"/>
          <w:b/>
          <w:color w:val="00002D"/>
          <w:sz w:val="32"/>
        </w:rPr>
        <w:t>Miscellaneous</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Stockholder Proposals for 2027 Annual Meeting</w:t>
      </w:r>
    </w:p>
    <w:p>
      <w:pPr>
        <w:pStyle w:val="TextBody"/>
        <w:bidi w:val="0"/>
        <w:spacing w:before="0" w:after="120"/>
        <w:jc w:val="both"/>
        <w:rPr>
          <w:rFonts w:ascii="Outfit;sans-serif" w:hAnsi="Outfit;sans-serif"/>
          <w:b/>
          <w:i/>
          <w:color w:val="00002D"/>
          <w:sz w:val="22"/>
        </w:rPr>
      </w:pPr>
      <w:r>
        <w:rPr>
          <w:rFonts w:ascii="Outfit;sans-serif" w:hAnsi="Outfit;sans-serif"/>
          <w:b/>
          <w:i/>
          <w:color w:val="00002D"/>
          <w:sz w:val="22"/>
        </w:rPr>
        <w:t>Requirements for stockholder proposals to be considered for inclusion in our proxy materials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Stockholders may present proper proposals for inclusion in our proxy statement and for consideration at our next annual meeting of stockholders by submitting their proposals in writing to our Corporate Secretary at our principal executive offices in a timely manner. In order to be included in the proxy statement for our 2027 annual meeting of stockholders, stockholder proposals must be submitted in writing and received by our Corporate Secretary no later than December 23, 2026, and must otherwise comply with the requirements of Rule 14a-8 of the Exchange Act.</w:t>
      </w:r>
    </w:p>
    <w:p>
      <w:pPr>
        <w:pStyle w:val="TextBody"/>
        <w:bidi w:val="0"/>
        <w:spacing w:before="0" w:after="120"/>
        <w:jc w:val="both"/>
        <w:rPr>
          <w:rFonts w:ascii="Times New Roman" w:hAnsi="Times New Roman"/>
          <w:sz w:val="20"/>
        </w:rPr>
      </w:pPr>
      <w:r>
        <w:rPr>
          <w:rFonts w:ascii="Outfit;sans-serif" w:hAnsi="Outfit;sans-serif"/>
          <w:b/>
          <w:i/>
          <w:color w:val="00002D"/>
          <w:sz w:val="22"/>
        </w:rPr>
        <w:t>Requirements for stockholder proposals and nominations to be brought before an annual meeting</w:t>
      </w:r>
      <w:r>
        <w:rPr>
          <w:rFonts w:ascii="Times New Roman" w:hAnsi="Times New Roman"/>
          <w:color w:val="00002D"/>
          <w:sz w:val="20"/>
        </w:rPr>
        <w:t xml:space="preserve">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In addition, our Third Amended and Restated By-laws (the By-laws) establish an advance notice procedure for stockholders who wish to present certain matters before an annual meeting of stockholders or nominate any person or persons for election to the Board. In general, to be properly brought before an annual meeting, nominations for the election of directors or other such business must be: (i) specified in the notice of meeting (or any supplement thereto) given by or at the direction of the Board (or any committee thereof), (ii) otherwise properly brought before the meeting by or at the direction of the Board (or any committee thereof), or (iii) otherwise properly brought before the meeting by a stockholder who is a stockholder of record or beneficial owner of shares of our capital stock at the time such notice of meeting is delivered, who is entitled to vote at the meeting, and who complies with the other notice procedures set forth in our By-laws. Written notice must be delivered to our Corporate Secretary no later than the deadlines for notice discussed below and must contain specified information concerning the nominees and the stockholder proposing such nominations, including, as applicable, the information required by Rule 14a-19 under the Exchange Act, and specified information regarding any other proposals as set forth in Section 2.12 of our By-laws. A copy of the full text of the provisions of our By-laws discussed above may be obtained free of charge by requesting it in writing from our Corporate Secretary.</w:t>
      </w:r>
    </w:p>
    <w:p>
      <w:pPr>
        <w:pStyle w:val="TextBody"/>
        <w:bidi w:val="0"/>
        <w:spacing w:before="0" w:after="120"/>
        <w:jc w:val="both"/>
        <w:rPr>
          <w:rFonts w:ascii="Times New Roman" w:hAnsi="Times New Roman"/>
          <w:sz w:val="20"/>
        </w:rPr>
      </w:pPr>
      <w:r>
        <w:rPr>
          <w:rFonts w:ascii="Outfit;sans-serif" w:hAnsi="Outfit;sans-serif"/>
          <w:color w:val="000000"/>
          <w:sz w:val="22"/>
        </w:rPr>
        <w:t>To be timely, notice must be delivered to or mailed and received by our Corporate Secretary at our principal executive offices: (x) not later than the close of business on the 90</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calendar day, nor earlier than the close of business on the 120</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calendar day, in advance of the anniversary of the previous year’s annual meeting if such meeting is to be held on a day which is not more than 30 calendar days in advance of the anniversary of the previous year’s annual meeting or not later than 60 calendar days after the anniversary of the previous year’s annual meeting; and (y) with respect to any other annual meeting of stockholders, the close of business on the 10</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calendar day following the date of public disclosure of the date of such meeting. As a result, the period for submitting proposals or nominations for our 2027 annual meeting of stockholders is between February 3, 2027, and March 5, 2027.</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If a stockholder who has notified us of an intention to present a proposal at an annual meeting does not attend the meeting to present the proposal at such meeting, we need not present the proposal for vote at such meeting.</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Householding of Proxy Materials</w:t>
      </w:r>
    </w:p>
    <w:p>
      <w:pPr>
        <w:pStyle w:val="TextBody"/>
        <w:bidi w:val="0"/>
        <w:spacing w:before="0" w:after="120"/>
        <w:jc w:val="both"/>
        <w:rPr>
          <w:rFonts w:ascii="Times New Roman" w:hAnsi="Times New Roman"/>
          <w:sz w:val="20"/>
        </w:rPr>
      </w:pPr>
      <w:r>
        <w:rPr>
          <w:rFonts w:ascii="Outfit;sans-serif" w:hAnsi="Outfit;sans-serif"/>
          <w:color w:val="000000"/>
          <w:sz w:val="22"/>
        </w:rPr>
        <w:t>The SEC has adopted rules that permit companies and intermediaries, such as brokers or other nominees, to satisfy delivery requirements for annual reports and proxy statements with respect to two or more stockholders sharing the same address by delivering a single annual report and/or proxy statement addressed to those stockholders. This process, which is commonly referred to as “householding,” potentially provides extra convenience for stockholders and cost savings for companies. We and some brokers or other nominees’ household annual reports and proxy materials, delivering a single annual report and/or proxy statement to</w:t>
      </w:r>
      <w:r>
        <w:rPr>
          <w:rFonts w:ascii="Times New Roman" w:hAnsi="Times New Roman"/>
          <w:color w:val="000000"/>
          <w:sz w:val="20"/>
        </w:rPr>
        <w:t xml:space="preserve"> </w:t>
      </w:r>
    </w:p>
    <w:p>
      <w:pPr>
        <w:pStyle w:val="TextBody"/>
        <w:bidi w:val="0"/>
        <w:jc w:val="center"/>
        <w:rPr>
          <w:rFonts w:ascii="Outfit;sans-serif" w:hAnsi="Outfit;sans-serif"/>
          <w:color w:val="000000"/>
          <w:sz w:val="22"/>
        </w:rPr>
      </w:pPr>
      <w:r>
        <w:rPr>
          <w:rFonts w:ascii="Outfit;sans-serif" w:hAnsi="Outfit;sans-serif"/>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Heading1"/>
        <w:bidi w:val="0"/>
        <w:jc w:val="center"/>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Additional Information</w:t>
            </w:r>
          </w:p>
          <w:p>
            <w:pPr>
              <w:pStyle w:val="Heading1"/>
              <w:bidi w:val="0"/>
              <w:spacing w:before="240" w:after="283"/>
              <w:jc w:val="center"/>
              <w:rPr/>
            </w:pPr>
            <w:r>
              <w:rPr/>
              <w:t> </w:t>
            </w:r>
          </w:p>
        </w:tc>
      </w:tr>
    </w:tbl>
    <w:p>
      <w:pPr>
        <w:pStyle w:val="TextBody"/>
        <w:bidi w:val="0"/>
        <w:jc w:val="center"/>
        <w:rPr/>
      </w:pPr>
      <w:r>
        <w:rPr/>
        <w:t> </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multiple stockholders sharing an address unless contrary instructions have been received from the affected stockholders.</w:t>
      </w:r>
    </w:p>
    <w:p>
      <w:pPr>
        <w:pStyle w:val="TextBody"/>
        <w:bidi w:val="0"/>
        <w:spacing w:before="0" w:after="120"/>
        <w:jc w:val="both"/>
        <w:rPr>
          <w:rFonts w:ascii="Times New Roman" w:hAnsi="Times New Roman"/>
          <w:sz w:val="20"/>
        </w:rPr>
      </w:pPr>
      <w:r>
        <w:rPr>
          <w:rFonts w:ascii="Outfit;sans-serif" w:hAnsi="Outfit;sans-serif"/>
          <w:color w:val="000000"/>
          <w:sz w:val="22"/>
        </w:rPr>
        <w:t>Once you have received notice from your broker, other nominee, or us that they or we will be householding materials to your address, householding will continue until you are notified otherwise or until you revoke your consent. You may request to receive at any time, and we will then promptly deliver, a copy of our annual report or proxy statement, by sending a written request to us at: CarGurus, Inc., Attn: Investor Relations, 1001 Boylston Street, 16</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Floor, Boston, Massachusetts 02115 or calling us at: (617) 354-0068.</w:t>
      </w:r>
    </w:p>
    <w:p>
      <w:pPr>
        <w:pStyle w:val="TextBody"/>
        <w:bidi w:val="0"/>
        <w:spacing w:before="0" w:after="120"/>
        <w:jc w:val="both"/>
        <w:rPr>
          <w:rFonts w:ascii="Times New Roman" w:hAnsi="Times New Roman"/>
          <w:sz w:val="20"/>
        </w:rPr>
      </w:pPr>
      <w:r>
        <w:rPr>
          <w:rFonts w:ascii="Outfit;sans-serif" w:hAnsi="Outfit;sans-serif"/>
          <w:color w:val="000000"/>
          <w:sz w:val="22"/>
        </w:rPr>
        <w:t>If, at any time, (i) you no longer wish to participate in householding and would prefer to receive a separate annual report and/or proxy statement in the future or (ii) you and another stockholder sharing the same address wish to participate in householding and prefer to receive a single copy of our annual report and/or proxy statement, please notify your broker or other nominee if your shares are held in a brokerage account or us if you hold registered shares. You can notify us by sending a written request to us at: CarGurus, Inc., Attn: Investor Relations, 1001 Boylston Street, 16</w:t>
      </w:r>
      <w:r>
        <w:rPr>
          <w:rFonts w:ascii="Outfit;sans-serif" w:hAnsi="Outfit;sans-serif"/>
          <w:color w:val="000000"/>
          <w:sz w:val="15"/>
        </w:rPr>
        <w:t>th</w:t>
      </w:r>
      <w:r>
        <w:rPr>
          <w:rFonts w:ascii="Times New Roman" w:hAnsi="Times New Roman"/>
          <w:color w:val="000000"/>
          <w:sz w:val="20"/>
        </w:rPr>
        <w:t xml:space="preserve"> </w:t>
      </w:r>
      <w:r>
        <w:rPr>
          <w:rFonts w:ascii="Outfit;sans-serif" w:hAnsi="Outfit;sans-serif"/>
          <w:color w:val="000000"/>
          <w:sz w:val="22"/>
        </w:rPr>
        <w:t>Floor, Boston, Massachusetts 02115 or calling us at: (617) 354-0068.</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Miscellaneous</w:t>
      </w:r>
    </w:p>
    <w:p>
      <w:pPr>
        <w:pStyle w:val="TextBody"/>
        <w:bidi w:val="0"/>
        <w:spacing w:before="0" w:after="120"/>
        <w:jc w:val="both"/>
        <w:rPr>
          <w:rFonts w:ascii="Outfit;sans-serif" w:hAnsi="Outfit;sans-serif"/>
          <w:color w:val="000000"/>
          <w:sz w:val="22"/>
        </w:rPr>
      </w:pPr>
      <w:r>
        <w:rPr>
          <w:rFonts w:ascii="Outfit;sans-serif" w:hAnsi="Outfit;sans-serif"/>
          <w:color w:val="000000"/>
          <w:sz w:val="22"/>
        </w:rPr>
        <w:t>Your vote is important. Whether or not you plan to attend the Annual Meeting, we hope you will vote in advance so that your vote will be counted if you later decide not to attend the Annual Meeting.</w:t>
      </w:r>
    </w:p>
    <w:p>
      <w:pPr>
        <w:pStyle w:val="TextBody"/>
        <w:bidi w:val="0"/>
        <w:spacing w:before="0" w:after="120"/>
        <w:jc w:val="both"/>
        <w:rPr>
          <w:rFonts w:ascii="Times New Roman" w:hAnsi="Times New Roman"/>
          <w:sz w:val="20"/>
        </w:rPr>
      </w:pPr>
      <w:r>
        <w:rPr>
          <w:rFonts w:ascii="Outfit;sans-serif" w:hAnsi="Outfit;sans-serif"/>
          <w:color w:val="000000"/>
          <w:sz w:val="22"/>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Annual Meeting, as they determine to be in the best interest of the Company and our stockholders.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Appendix A</w:t>
            </w:r>
          </w:p>
          <w:p>
            <w:pPr>
              <w:pStyle w:val="Heading1"/>
              <w:bidi w:val="0"/>
              <w:spacing w:before="240" w:after="283"/>
              <w:jc w:val="center"/>
              <w:rPr/>
            </w:pPr>
            <w:r>
              <w:rPr/>
              <w:t> </w:t>
            </w:r>
          </w:p>
        </w:tc>
      </w:tr>
    </w:tbl>
    <w:p>
      <w:pPr>
        <w:pStyle w:val="TextBody"/>
        <w:bidi w:val="0"/>
        <w:jc w:val="left"/>
        <w:rPr/>
      </w:pPr>
      <w:r>
        <w:rPr/>
        <w:t> </w:t>
      </w:r>
    </w:p>
    <w:p>
      <w:pPr>
        <w:pStyle w:val="TextBody"/>
        <w:bidi w:val="0"/>
        <w:spacing w:before="0" w:after="120"/>
        <w:jc w:val="both"/>
        <w:rPr>
          <w:rFonts w:ascii="Outfit;sans-serif" w:hAnsi="Outfit;sans-serif"/>
          <w:b/>
          <w:color w:val="00002D"/>
          <w:sz w:val="32"/>
        </w:rPr>
      </w:pPr>
      <w:bookmarkStart w:id="32" w:name="appendix_a"/>
      <w:bookmarkEnd w:id="32"/>
      <w:r>
        <w:rPr>
          <w:rFonts w:ascii="Outfit;sans-serif" w:hAnsi="Outfit;sans-serif"/>
          <w:b/>
          <w:color w:val="00002D"/>
          <w:sz w:val="32"/>
        </w:rPr>
        <w:t>Key Business Metrics</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p>
    <w:p>
      <w:pPr>
        <w:pStyle w:val="TextBody"/>
        <w:bidi w:val="0"/>
        <w:spacing w:before="0" w:after="120"/>
        <w:jc w:val="both"/>
        <w:rPr>
          <w:rFonts w:ascii="Outfit;sans-serif" w:hAnsi="Outfit;sans-serif"/>
          <w:b/>
          <w:color w:val="3465B0"/>
          <w:sz w:val="24"/>
        </w:rPr>
      </w:pPr>
      <w:r>
        <w:rPr>
          <w:rFonts w:ascii="Outfit;sans-serif" w:hAnsi="Outfit;sans-serif"/>
          <w:b/>
          <w:color w:val="3465B0"/>
          <w:sz w:val="24"/>
        </w:rPr>
        <w:t>Monthly Unique Users</w:t>
      </w:r>
    </w:p>
    <w:p>
      <w:pPr>
        <w:pStyle w:val="TextBody"/>
        <w:bidi w:val="0"/>
        <w:spacing w:before="0" w:after="120"/>
        <w:jc w:val="both"/>
        <w:rPr>
          <w:rFonts w:ascii="Times New Roman" w:hAnsi="Times New Roman"/>
          <w:sz w:val="20"/>
        </w:rPr>
      </w:pPr>
      <w:r>
        <w:rPr>
          <w:rFonts w:ascii="Outfit;sans-serif" w:hAnsi="Outfit;sans-serif"/>
          <w:color w:val="00002D"/>
          <w:sz w:val="22"/>
        </w:rPr>
        <w:t>For each of our websites, we define a monthly unique user as an individual who has visited any such website and taken a Visitor Action (as defined below) within a calendar month, based on data as measured by Google Analytics 4 (GA4). We calculate average monthly unique users as the sum of the monthly unique users of each of our websites in a defined period, divided by the number of months in that period.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w:t>
      </w:r>
      <w:r>
        <w:rPr>
          <w:rFonts w:ascii="Times New Roman" w:hAnsi="Times New Roman"/>
          <w:color w:val="00002D"/>
          <w:sz w:val="20"/>
        </w:rPr>
        <w:t xml:space="preserve"> </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are subject to evolving privacy laws governing cookies and tracking technologies. Privacy regulations that require user consent for tracking technologies, such as cookies, may limit our ability to collect certain data, which could result in an undercount of actual average monthly unique users. Conversely, interactions with our websites generated by bots and other automated mechanisms may inflate GA4 data, which could lead to an overcount of average monthly unique users.</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revenue depends, in part, on our ability to provide dealers with connections to our users and exposure to our audience. We define connections as interactions between consumers and dealers on our marketplace through phone calls, email, managed text and chat, and clicks to access the dealer’s website or map directions to the dealership.</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Monthly Sessions</w:t>
      </w:r>
    </w:p>
    <w:p>
      <w:pPr>
        <w:pStyle w:val="TextBody"/>
        <w:bidi w:val="0"/>
        <w:spacing w:before="0" w:after="120"/>
        <w:jc w:val="both"/>
        <w:rPr>
          <w:rFonts w:ascii="Times New Roman" w:hAnsi="Times New Roman"/>
          <w:sz w:val="20"/>
        </w:rPr>
      </w:pPr>
      <w:r>
        <w:rPr>
          <w:rFonts w:ascii="Outfit;sans-serif" w:hAnsi="Outfit;sans-serif"/>
          <w:color w:val="00002D"/>
          <w:sz w:val="22"/>
        </w:rPr>
        <w:t>We define monthly sessions as the number of distinct visits to our websites that include a Visitor Action that take place each month within a given time frame, as measured and defined by GA4. We calculate average monthly sessions as the sum of the monthly sessions in a defined period, divided by the number of months in that period.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w:t>
      </w:r>
      <w:r>
        <w:rPr>
          <w:rFonts w:ascii="Times New Roman" w:hAnsi="Times New Roman"/>
          <w:color w:val="00002D"/>
          <w:sz w:val="20"/>
        </w:rPr>
        <w:t xml:space="preserve"> </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are subject to evolving privacy laws governing cookies and tracking technologies. Privacy regulations that require user consent for tracking technologies, such as cookies, may limit our ability to collect certain data, which could result in an undercount of actual average monthly sessions. Conversely, interactions with our websites generated by bots and other automated mechanisms may inflate GA4 data, which could lead to an overcount of average monthly sessions.</w:t>
      </w:r>
    </w:p>
    <w:p>
      <w:pPr>
        <w:pStyle w:val="TextBody"/>
        <w:bidi w:val="0"/>
        <w:jc w:val="center"/>
        <w:rPr>
          <w:rFonts w:ascii="Outfit;sans-serif" w:hAnsi="Outfit;sans-serif"/>
          <w:color w:val="000000"/>
          <w:sz w:val="22"/>
        </w:rPr>
      </w:pPr>
      <w:r>
        <w:rPr>
          <w:rFonts w:ascii="Outfit;sans-serif" w:hAnsi="Outfit;sans-serif"/>
          <w:color w:val="000000"/>
          <w:sz w:val="22"/>
        </w:rPr>
        <w:t>A-1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003A70" w:val="clear"/>
            <w:tcMar>
              <w:top w:w="0" w:type="dxa"/>
              <w:left w:w="0" w:type="dxa"/>
              <w:bottom w:w="0" w:type="dxa"/>
              <w:right w:w="0" w:type="dxa"/>
            </w:tcMar>
            <w:vAlign w:val="center"/>
          </w:tcPr>
          <w:p>
            <w:pPr>
              <w:pStyle w:val="Heading1"/>
              <w:bidi w:val="0"/>
              <w:spacing w:before="240" w:after="283"/>
              <w:jc w:val="center"/>
              <w:rPr/>
            </w:pPr>
            <w:r>
              <w:rPr/>
              <w:t> </w:t>
            </w:r>
          </w:p>
          <w:p>
            <w:pPr>
              <w:pStyle w:val="Heading1"/>
              <w:bidi w:val="0"/>
              <w:jc w:val="center"/>
              <w:rPr>
                <w:rFonts w:ascii="Outfit;sans-serif" w:hAnsi="Outfit;sans-serif"/>
                <w:color w:val="FFFFFF"/>
                <w:sz w:val="44"/>
              </w:rPr>
            </w:pPr>
            <w:r>
              <w:rPr>
                <w:rFonts w:ascii="Outfit;sans-serif" w:hAnsi="Outfit;sans-serif"/>
                <w:color w:val="FFFFFF"/>
                <w:sz w:val="44"/>
              </w:rPr>
              <w:t>Appendix A</w:t>
            </w:r>
          </w:p>
          <w:p>
            <w:pPr>
              <w:pStyle w:val="Heading1"/>
              <w:bidi w:val="0"/>
              <w:spacing w:before="240" w:after="283"/>
              <w:jc w:val="center"/>
              <w:rPr/>
            </w:pPr>
            <w:r>
              <w:rPr/>
              <w:t> </w:t>
            </w:r>
          </w:p>
        </w:tc>
      </w:tr>
    </w:tbl>
    <w:p>
      <w:pPr>
        <w:pStyle w:val="TextBody"/>
        <w:bidi w:val="0"/>
        <w:jc w:val="left"/>
        <w:rPr/>
      </w:pPr>
      <w:r>
        <w:rPr/>
        <w:t> </w:t>
      </w:r>
    </w:p>
    <w:p>
      <w:pPr>
        <w:pStyle w:val="TextBody"/>
        <w:bidi w:val="0"/>
        <w:spacing w:before="0" w:after="120"/>
        <w:jc w:val="both"/>
        <w:rPr>
          <w:rFonts w:ascii="Outfit;sans-serif" w:hAnsi="Outfit;sans-serif"/>
          <w:color w:val="00002D"/>
          <w:sz w:val="22"/>
        </w:rPr>
      </w:pPr>
      <w:r>
        <w:rPr>
          <w:rFonts w:ascii="Outfit;sans-serif" w:hAnsi="Outfit;sans-serif"/>
          <w:color w:val="00002D"/>
          <w:sz w:val="22"/>
        </w:rPr>
        <w:t>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spacing w:before="0" w:after="120"/>
        <w:jc w:val="left"/>
        <w:rPr>
          <w:rFonts w:ascii="Outfit;sans-serif" w:hAnsi="Outfit;sans-serif"/>
          <w:b/>
          <w:color w:val="3465B0"/>
          <w:sz w:val="24"/>
        </w:rPr>
      </w:pPr>
      <w:r>
        <w:rPr>
          <w:rFonts w:ascii="Outfit;sans-serif" w:hAnsi="Outfit;sans-serif"/>
          <w:b/>
          <w:color w:val="3465B0"/>
          <w:sz w:val="24"/>
        </w:rPr>
        <w:t>Number of Paying Dealers</w:t>
      </w:r>
    </w:p>
    <w:p>
      <w:pPr>
        <w:pStyle w:val="TextBody"/>
        <w:bidi w:val="0"/>
        <w:jc w:val="both"/>
        <w:rPr>
          <w:rFonts w:ascii="Times New Roman" w:hAnsi="Times New Roman"/>
          <w:sz w:val="20"/>
        </w:rPr>
      </w:pPr>
      <w:r>
        <w:rPr>
          <w:rFonts w:ascii="Outfit;sans-serif" w:hAnsi="Outfit;sans-serif"/>
          <w:color w:val="00002D"/>
          <w:sz w:val="22"/>
        </w:rPr>
        <w:t>We define a paying dealer as a dealer account with an active, paid subscription at the end of a defined period.</w:t>
      </w:r>
      <w:r>
        <w:rPr>
          <w:rFonts w:ascii="Times New Roman" w:hAnsi="Times New Roman"/>
          <w:color w:val="00002D"/>
          <w:sz w:val="20"/>
        </w:rPr>
        <w:t xml:space="preserve"> </w:t>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The number of paying dealers we have is important to us and we believe it provides valuable information to investors because it is indicative of the value proposition of our products, as well as our sales and marketing success and opportunity, including our ability to retain paying dealers and develop new dealer relationships.</w:t>
      </w:r>
    </w:p>
    <w:p>
      <w:pPr>
        <w:pStyle w:val="TextBody"/>
        <w:bidi w:val="0"/>
        <w:spacing w:before="120" w:after="283"/>
        <w:jc w:val="left"/>
        <w:rPr>
          <w:rFonts w:ascii="Times New Roman" w:hAnsi="Times New Roman"/>
          <w:sz w:val="20"/>
        </w:rPr>
      </w:pPr>
      <w:r>
        <w:rPr>
          <w:rFonts w:ascii="Outfit;sans-serif" w:hAnsi="Outfit;sans-serif"/>
          <w:b/>
          <w:color w:val="3465B0"/>
          <w:sz w:val="24"/>
        </w:rPr>
        <w:t>Quarterly Average Revenue per Subscribing Dealer (QARSD)</w:t>
      </w:r>
      <w:r>
        <w:rPr>
          <w:rFonts w:ascii="Times New Roman" w:hAnsi="Times New Roman"/>
          <w:color w:val="3465B0"/>
          <w:sz w:val="20"/>
        </w:rPr>
        <w:t xml:space="preserve"> </w:t>
      </w:r>
    </w:p>
    <w:p>
      <w:pPr>
        <w:pStyle w:val="TextBody"/>
        <w:bidi w:val="0"/>
        <w:spacing w:before="120" w:after="283"/>
        <w:jc w:val="both"/>
        <w:rPr>
          <w:rFonts w:ascii="Times New Roman" w:hAnsi="Times New Roman"/>
          <w:sz w:val="20"/>
        </w:rPr>
      </w:pPr>
      <w:r>
        <w:rPr>
          <w:rFonts w:ascii="Outfit;sans-serif" w:hAnsi="Outfit;sans-serif"/>
          <w:color w:val="00002D"/>
          <w:sz w:val="22"/>
        </w:rPr>
        <w:t>We define QARSD, which is measured at the end of a fiscal quarter, as the revenue primarily from subscription products during that trailing quarter divided by the average number of paying dealers during the quarter. We calculate the average number of paying dealers for a period by adding the number of paying dealers at the end of such period and the end of the prior period and dividing by two.</w:t>
      </w:r>
      <w:r>
        <w:rPr>
          <w:rFonts w:ascii="Times New Roman" w:hAnsi="Times New Roman"/>
          <w:color w:val="00002D"/>
          <w:sz w:val="20"/>
        </w:rPr>
        <w:t xml:space="preserve"> </w:t>
      </w:r>
    </w:p>
    <w:p>
      <w:pPr>
        <w:pStyle w:val="TextBody"/>
        <w:bidi w:val="0"/>
        <w:spacing w:before="120" w:after="283"/>
        <w:jc w:val="both"/>
        <w:rPr>
          <w:rFonts w:ascii="Outfit;sans-serif" w:hAnsi="Outfit;sans-serif"/>
          <w:color w:val="00002D"/>
          <w:sz w:val="22"/>
        </w:rPr>
      </w:pPr>
      <w:r>
        <w:rPr>
          <w:rFonts w:ascii="Outfit;sans-serif" w:hAnsi="Outfit;sans-serif"/>
          <w:color w:val="00002D"/>
          <w:sz w:val="22"/>
        </w:rPr>
        <w:t>This information is important to us, and we believe it provides useful information to investors, because we believe that our ability to grow QARSD is an indicator of the value proposition of our products and the return on investment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left"/>
        <w:rPr/>
      </w:pPr>
      <w:r>
        <w:rPr/>
        <w:t> </w:t>
      </w:r>
    </w:p>
    <w:p>
      <w:pPr>
        <w:pStyle w:val="TextBody"/>
        <w:bidi w:val="0"/>
        <w:jc w:val="center"/>
        <w:rPr>
          <w:rFonts w:ascii="Outfit;sans-serif" w:hAnsi="Outfit;sans-serif"/>
          <w:color w:val="000000"/>
          <w:sz w:val="22"/>
        </w:rPr>
      </w:pPr>
      <w:r>
        <w:rPr>
          <w:rFonts w:ascii="Outfit;sans-serif" w:hAnsi="Outfit;sans-serif"/>
          <w:color w:val="000000"/>
          <w:sz w:val="22"/>
        </w:rPr>
        <w:t>A-2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858000" cy="88677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6858000" cy="88677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CARGURUS, INC. C/O BROADRIDGE P.O. BOX 1342 BRENTWOOD, NY 11717 SCAN TO VIEW MATERIALS &amp; VOTE VOTE BY INTERNET - www.proxyvote.com or scan the QR Barcode above Use the Internet to transmit your voting instructions and for electronic delivery of information. Vote by 11:59 P.M. ET on 06/02/2026. Have your proxy card in hand when you access the web site and follow the instructions to obtain your records and to create an electronic voting instruction form. During The Meeting- Go to www.virtualshareholdermeeting.com/CARG2026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ET on 06/02/2026.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THIS PROXY CARD IS VALID ONLY WHEN SIGNED AND DATED. DETACH AND RETURN THIS PORTION ONLY For All The Board of Directors recommends you vote FOR the following director nominees: Withhold For All All Except To withhold authority to vote for any individual nominee(s), mark “For All Except” and write the number(s) of the nominee(s) on the line below. 1. To elect two Class III directors to hold office until the 2029 Annual Meeting of Stockholders. Nominees 01) Manik Gupta 02) Langley Steinert The Board of Directors recommends you vote FOR proposals 2 and 3. 2. To ratify the appointment of Ernst &amp; Young LLP as the Company's independent registered public accounting firm for the year ending December 31, 2026. 3. To approve, on a non-binding advisory basis, the compensation of the Company's named executive officers for 2025. NOTE: To conduct any other business properly brought before the Annual Meeting.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0000704767_1 R2.09.05.010 Signature [PLEASE SIGN WITHIN BOX] Signature (Joint Owners) Date Date</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858000" cy="88677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6858000" cy="88677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 xml:space="preserve">Important Notice Regarding the Availability of Proxy Materials for the Annual Meeting: The Annual Report and Notice and Proxy Statement are available at </w:t>
      </w:r>
      <w:r>
        <w:rPr>
          <w:rFonts w:ascii="Times New Roman" w:hAnsi="Times New Roman"/>
          <w:color w:val="FFFFFF"/>
          <w:sz w:val="2"/>
          <w:u w:val="single"/>
        </w:rPr>
        <w:t>www.proxyvote.com</w:t>
      </w:r>
      <w:r>
        <w:rPr>
          <w:rFonts w:ascii="Times New Roman" w:hAnsi="Times New Roman"/>
          <w:color w:val="FFFFFF"/>
          <w:sz w:val="20"/>
        </w:rPr>
        <w:t xml:space="preserve"> </w:t>
      </w:r>
      <w:r>
        <w:rPr>
          <w:rFonts w:ascii="Times New Roman" w:hAnsi="Times New Roman"/>
          <w:color w:val="FFFFFF"/>
          <w:sz w:val="2"/>
        </w:rPr>
        <w:t>CARGURUS, INC. Annual Meeting of Stockholders June 3, 2026 2:00 P.M. ET This proxy is solicited by the Board of Directors The undersigned hereby appoints Jason Trevisan and Javier Zamora, and each or either of them, as the true and lawful attorneys of the undersigned, with full power of substitution and revocation, and authorizes them, and each of them, to vote all the shares of common stock of CarGurus, Inc. which the undersigned is entitled to vote at the Annual Meeting of Stockholders to be held virtually at 2:00 P.M. ET on Wednesday, June 3, 2026, conducted via live audio webcast at www.virtualshareholdermeeting.com/CARG2026,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FOR THE ELECTION OF THE DIRECTORS IN ITEM 1, FOR THE PROPOSAL IN ITEM 2, AND FOR THE PROPOSAL IN ITEM 3. THE PROXIES WILL VOTE IN THEIR DISCRETION ON ANY OTHER BUSINESS AS MAY PROPERLY COME BEFORE THE MEETING AND ANY ADJOURNMENT THEREOF. Continued and to be signed on reverse side 0000704767_2 R2.09.05.010</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pPr>
      <w:r>
        <w:rPr/>
        <w:drawing>
          <wp:inline distT="0" distB="0" distL="0" distR="0">
            <wp:extent cx="6858000" cy="88106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858000" cy="88106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utfit">
    <w:altName w:val="sans-serif"/>
    <w:charset w:val="01"/>
    <w:family w:val="auto"/>
    <w:pitch w:val="default"/>
  </w:font>
  <w:font w:name="Times New Roman">
    <w:charset w:val="01"/>
    <w:family w:val="auto"/>
    <w:pitch w:val="default"/>
  </w:font>
  <w:font w:name="Outfit">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gif"/><Relationship Id="rId6" Type="http://schemas.openxmlformats.org/officeDocument/2006/relationships/image" Target="media/image4.jpeg"/><Relationship Id="rId7" Type="http://schemas.openxmlformats.org/officeDocument/2006/relationships/image" Target="media/image1.gif"/><Relationship Id="rId8" Type="http://schemas.openxmlformats.org/officeDocument/2006/relationships/image" Target="media/image5.gif"/><Relationship Id="rId9" Type="http://schemas.openxmlformats.org/officeDocument/2006/relationships/image" Target="media/image6.gif"/><Relationship Id="rId10" Type="http://schemas.openxmlformats.org/officeDocument/2006/relationships/image" Target="media/image7.gif"/><Relationship Id="rId11" Type="http://schemas.openxmlformats.org/officeDocument/2006/relationships/image" Target="media/image8.jpeg"/><Relationship Id="rId12" Type="http://schemas.openxmlformats.org/officeDocument/2006/relationships/image" Target="media/image9.gif"/><Relationship Id="rId13" Type="http://schemas.openxmlformats.org/officeDocument/2006/relationships/image" Target="media/image10.gif"/><Relationship Id="rId14" Type="http://schemas.openxmlformats.org/officeDocument/2006/relationships/image" Target="media/image11.jpeg"/><Relationship Id="rId15" Type="http://schemas.openxmlformats.org/officeDocument/2006/relationships/image" Target="media/image5.gif"/><Relationship Id="rId16" Type="http://schemas.openxmlformats.org/officeDocument/2006/relationships/image" Target="media/image12.gif"/><Relationship Id="rId17" Type="http://schemas.openxmlformats.org/officeDocument/2006/relationships/image" Target="media/image7.gif"/><Relationship Id="rId18" Type="http://schemas.openxmlformats.org/officeDocument/2006/relationships/image" Target="media/image13.gif"/><Relationship Id="rId19" Type="http://schemas.openxmlformats.org/officeDocument/2006/relationships/image" Target="media/image14.gif"/><Relationship Id="rId20" Type="http://schemas.openxmlformats.org/officeDocument/2006/relationships/image" Target="media/image15.gif"/><Relationship Id="rId21" Type="http://schemas.openxmlformats.org/officeDocument/2006/relationships/image" Target="media/image7.gif"/><Relationship Id="rId22" Type="http://schemas.openxmlformats.org/officeDocument/2006/relationships/image" Target="media/image16.gif"/><Relationship Id="rId23" Type="http://schemas.openxmlformats.org/officeDocument/2006/relationships/image" Target="media/image16.gif"/><Relationship Id="rId24" Type="http://schemas.openxmlformats.org/officeDocument/2006/relationships/image" Target="media/image16.gif"/><Relationship Id="rId25" Type="http://schemas.openxmlformats.org/officeDocument/2006/relationships/image" Target="media/image16.gif"/><Relationship Id="rId26" Type="http://schemas.openxmlformats.org/officeDocument/2006/relationships/image" Target="media/image16.gif"/><Relationship Id="rId27" Type="http://schemas.openxmlformats.org/officeDocument/2006/relationships/image" Target="media/image16.gif"/><Relationship Id="rId28" Type="http://schemas.openxmlformats.org/officeDocument/2006/relationships/image" Target="media/image16.gif"/><Relationship Id="rId29" Type="http://schemas.openxmlformats.org/officeDocument/2006/relationships/image" Target="media/image16.gif"/><Relationship Id="rId30" Type="http://schemas.openxmlformats.org/officeDocument/2006/relationships/image" Target="media/image16.gif"/><Relationship Id="rId31" Type="http://schemas.openxmlformats.org/officeDocument/2006/relationships/image" Target="media/image16.gif"/><Relationship Id="rId32" Type="http://schemas.openxmlformats.org/officeDocument/2006/relationships/image" Target="media/image16.gif"/><Relationship Id="rId33" Type="http://schemas.openxmlformats.org/officeDocument/2006/relationships/image" Target="media/image16.gif"/><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7.jpeg"/><Relationship Id="rId37" Type="http://schemas.openxmlformats.org/officeDocument/2006/relationships/image" Target="media/image18.jpeg"/><Relationship Id="rId38" Type="http://schemas.openxmlformats.org/officeDocument/2006/relationships/image" Target="media/image17.jpeg"/><Relationship Id="rId39" Type="http://schemas.openxmlformats.org/officeDocument/2006/relationships/image" Target="media/image18.jpeg"/><Relationship Id="rId40" Type="http://schemas.openxmlformats.org/officeDocument/2006/relationships/image" Target="media/image17.jpeg"/><Relationship Id="rId41" Type="http://schemas.openxmlformats.org/officeDocument/2006/relationships/image" Target="media/image18.jpeg"/><Relationship Id="rId42" Type="http://schemas.openxmlformats.org/officeDocument/2006/relationships/image" Target="media/image17.jpeg"/><Relationship Id="rId43" Type="http://schemas.openxmlformats.org/officeDocument/2006/relationships/image" Target="media/image18.jpeg"/><Relationship Id="rId44" Type="http://schemas.openxmlformats.org/officeDocument/2006/relationships/image" Target="media/image17.jpeg"/><Relationship Id="rId45" Type="http://schemas.openxmlformats.org/officeDocument/2006/relationships/image" Target="media/image17.jpeg"/><Relationship Id="rId46" Type="http://schemas.openxmlformats.org/officeDocument/2006/relationships/image" Target="media/image17.jpeg"/><Relationship Id="rId47" Type="http://schemas.openxmlformats.org/officeDocument/2006/relationships/image" Target="media/image19.jpeg"/><Relationship Id="rId48" Type="http://schemas.openxmlformats.org/officeDocument/2006/relationships/image" Target="media/image20.jpeg"/><Relationship Id="rId49" Type="http://schemas.openxmlformats.org/officeDocument/2006/relationships/image" Target="media/image21.jpeg"/><Relationship Id="rId50" Type="http://schemas.openxmlformats.org/officeDocument/2006/relationships/image" Target="media/image22.jpeg"/><Relationship Id="rId51" Type="http://schemas.openxmlformats.org/officeDocument/2006/relationships/image" Target="media/image23.jpeg"/><Relationship Id="rId52" Type="http://schemas.openxmlformats.org/officeDocument/2006/relationships/image" Target="media/image24.jpeg"/><Relationship Id="rId53" Type="http://schemas.openxmlformats.org/officeDocument/2006/relationships/image" Target="media/image25.jpeg"/><Relationship Id="rId54" Type="http://schemas.openxmlformats.org/officeDocument/2006/relationships/image" Target="media/image17.jpeg"/><Relationship Id="rId55" Type="http://schemas.openxmlformats.org/officeDocument/2006/relationships/image" Target="media/image17.jpeg"/><Relationship Id="rId56" Type="http://schemas.openxmlformats.org/officeDocument/2006/relationships/image" Target="media/image17.jpeg"/><Relationship Id="rId57" Type="http://schemas.openxmlformats.org/officeDocument/2006/relationships/image" Target="media/image17.jpeg"/><Relationship Id="rId58" Type="http://schemas.openxmlformats.org/officeDocument/2006/relationships/image" Target="media/image17.jpeg"/><Relationship Id="rId59" Type="http://schemas.openxmlformats.org/officeDocument/2006/relationships/image" Target="media/image17.jpeg"/><Relationship Id="rId60" Type="http://schemas.openxmlformats.org/officeDocument/2006/relationships/image" Target="media/image17.jpeg"/><Relationship Id="rId61" Type="http://schemas.openxmlformats.org/officeDocument/2006/relationships/image" Target="media/image17.jpeg"/><Relationship Id="rId62" Type="http://schemas.openxmlformats.org/officeDocument/2006/relationships/image" Target="media/image18.jpeg"/><Relationship Id="rId63" Type="http://schemas.openxmlformats.org/officeDocument/2006/relationships/image" Target="media/image18.jpeg"/><Relationship Id="rId64" Type="http://schemas.openxmlformats.org/officeDocument/2006/relationships/image" Target="media/image18.jpeg"/><Relationship Id="rId65" Type="http://schemas.openxmlformats.org/officeDocument/2006/relationships/image" Target="media/image18.jpeg"/><Relationship Id="rId66" Type="http://schemas.openxmlformats.org/officeDocument/2006/relationships/image" Target="media/image18.jpeg"/><Relationship Id="rId67" Type="http://schemas.openxmlformats.org/officeDocument/2006/relationships/image" Target="media/image26.jpeg"/><Relationship Id="rId68" Type="http://schemas.openxmlformats.org/officeDocument/2006/relationships/image" Target="media/image27.jpeg"/><Relationship Id="rId69" Type="http://schemas.openxmlformats.org/officeDocument/2006/relationships/image" Target="media/image28.jpeg"/><Relationship Id="rId70" Type="http://schemas.openxmlformats.org/officeDocument/2006/relationships/image" Target="media/image29.jpeg"/><Relationship Id="rId71" Type="http://schemas.openxmlformats.org/officeDocument/2006/relationships/image" Target="media/image30.jpeg"/><Relationship Id="rId72" Type="http://schemas.openxmlformats.org/officeDocument/2006/relationships/image" Target="media/image31.gif"/><Relationship Id="rId73" Type="http://schemas.openxmlformats.org/officeDocument/2006/relationships/image" Target="media/image32.jpeg"/><Relationship Id="rId74" Type="http://schemas.openxmlformats.org/officeDocument/2006/relationships/image" Target="media/image33.jpeg"/><Relationship Id="rId75" Type="http://schemas.openxmlformats.org/officeDocument/2006/relationships/image" Target="media/image34.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35924</Words>
  <Characters>199864</Characters>
  <CharactersWithSpaces>234126</CharactersWithSpaces>
  <Paragraphs>3657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