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Trevisan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BOYLSTON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CarGurus, Inc.</w:t>
              </w:r>
            </w:hyperlink>
            <w:r>
              <w:rPr/>
              <w:t xml:space="preserve"> [ </w:t>
            </w:r>
            <w:r>
              <w:rPr>
                <w:rFonts w:ascii="Times;serif" w:hAnsi="Times;serif"/>
                <w:color w:val="0000FF"/>
                <w:sz w:val="24"/>
                <w:shd w:fill="FFFFFF" w:val="clear"/>
              </w:rPr>
              <w:t>CARG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20"/>
        <w:gridCol w:w="444"/>
        <w:gridCol w:w="748"/>
        <w:gridCol w:w="1145"/>
        <w:gridCol w:w="984"/>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21,509</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653,253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79,672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for payment of tax liability upon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directly by the Jason Trevisan 2019 Family Trust dated July 23, 2019 (the "Family Trust"), of which the Reporting Person is trustee. The Reporting Person and members of his immediate family are the beneficiaries of the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the Trevisan 2025 Grantor Retained Annuity Trust dated March 13, 2025 (the "2025 GRAT"), of which the Reporting Person is trustee. The Reporting Person's children are the beneficiaries of the 2025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directly by the Trevisan 2026 Grantor Retained Annuity Trust dated June 8, 2026 (the "2026 GRAT"), of which the Reporting Person is trustee. The Reporting Person's children are the beneficiaries of the 2026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Murray,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8636" TargetMode="External"/><Relationship Id="rId5" Type="http://schemas.openxmlformats.org/officeDocument/2006/relationships/hyperlink" Target="http://www.sec.gov/cgi-bin/browse-edgar?action=getcompany&amp;CIK=00014942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3889</Characters>
  <CharactersWithSpaces>4530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