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0002010096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283"/>
              <w:jc w:val="left"/>
              <w:rPr/>
            </w:pPr>
            <w:r>
              <w:rPr/>
              <w:t>Name of Issuer</w:t>
            </w:r>
          </w:p>
        </w:tc>
        <w:tc>
          <w:tcPr>
            <w:tcW w:w="4140" w:type="dxa"/>
            <w:tcBorders/>
            <w:vAlign w:val="center"/>
          </w:tcPr>
          <w:p>
            <w:pPr>
              <w:pStyle w:val="TableContents"/>
              <w:bidi w:val="0"/>
              <w:spacing w:before="0" w:after="0"/>
              <w:jc w:val="left"/>
              <w:rPr/>
            </w:pPr>
            <w:r>
              <w:rPr/>
              <w:t>CarGurus, Inc.</w:t>
            </w:r>
          </w:p>
        </w:tc>
      </w:tr>
      <w:tr>
        <w:trPr/>
        <w:tc>
          <w:tcPr>
            <w:tcW w:w="6065" w:type="dxa"/>
            <w:tcBorders/>
            <w:vAlign w:val="center"/>
          </w:tcPr>
          <w:p>
            <w:pPr>
              <w:pStyle w:val="TableContents"/>
              <w:bidi w:val="0"/>
              <w:spacing w:before="0" w:after="283"/>
              <w:jc w:val="left"/>
              <w:rPr/>
            </w:pPr>
            <w:r>
              <w:rPr/>
              <w:t>SEC File Number</w:t>
            </w:r>
          </w:p>
        </w:tc>
        <w:tc>
          <w:tcPr>
            <w:tcW w:w="4140" w:type="dxa"/>
            <w:tcBorders/>
            <w:vAlign w:val="center"/>
          </w:tcPr>
          <w:p>
            <w:pPr>
              <w:pStyle w:val="TableContents"/>
              <w:bidi w:val="0"/>
              <w:spacing w:before="0" w:after="0"/>
              <w:jc w:val="left"/>
              <w:rPr/>
            </w:pPr>
            <w:r>
              <w:rPr/>
              <w:t>001-38233</w:t>
            </w:r>
          </w:p>
        </w:tc>
      </w:tr>
      <w:tr>
        <w:trPr/>
        <w:tc>
          <w:tcPr>
            <w:tcW w:w="6065" w:type="dxa"/>
            <w:tcBorders/>
            <w:vAlign w:val="center"/>
          </w:tcPr>
          <w:p>
            <w:pPr>
              <w:pStyle w:val="TableContents"/>
              <w:bidi w:val="0"/>
              <w:spacing w:before="0" w:after="283"/>
              <w:jc w:val="left"/>
              <w:rPr/>
            </w:pPr>
            <w:r>
              <w:rPr/>
              <w:t>Address of Issuer</w:t>
            </w:r>
          </w:p>
        </w:tc>
        <w:tc>
          <w:tcPr>
            <w:tcW w:w="4140" w:type="dxa"/>
            <w:tcBorders/>
            <w:vAlign w:val="center"/>
          </w:tcPr>
          <w:p>
            <w:pPr>
              <w:pStyle w:val="TableContents"/>
              <w:bidi w:val="0"/>
              <w:spacing w:before="0" w:after="0"/>
              <w:jc w:val="left"/>
              <w:rPr/>
            </w:pPr>
            <w:r>
              <w:rPr/>
              <w:t>1001 BOYLSTON STREET</w:t>
              <w:br/>
              <w:t>16TH FLOOR</w:t>
              <w:br/>
              <w:t>BOSTON</w:t>
              <w:br/>
              <w:t xml:space="preserve">MASSACHUSETTS </w:t>
              <w:br/>
              <w:t>02115</w:t>
            </w:r>
          </w:p>
        </w:tc>
      </w:tr>
      <w:tr>
        <w:trPr/>
        <w:tc>
          <w:tcPr>
            <w:tcW w:w="6065" w:type="dxa"/>
            <w:tcBorders/>
            <w:vAlign w:val="center"/>
          </w:tcPr>
          <w:p>
            <w:pPr>
              <w:pStyle w:val="TableContents"/>
              <w:bidi w:val="0"/>
              <w:spacing w:before="0" w:after="283"/>
              <w:jc w:val="left"/>
              <w:rPr/>
            </w:pPr>
            <w:r>
              <w:rPr/>
              <w:t>Phone</w:t>
            </w:r>
          </w:p>
        </w:tc>
        <w:tc>
          <w:tcPr>
            <w:tcW w:w="4140" w:type="dxa"/>
            <w:tcBorders/>
            <w:vAlign w:val="center"/>
          </w:tcPr>
          <w:p>
            <w:pPr>
              <w:pStyle w:val="TableContents"/>
              <w:bidi w:val="0"/>
              <w:spacing w:before="0" w:after="0"/>
              <w:jc w:val="left"/>
              <w:rPr/>
            </w:pPr>
            <w:r>
              <w:rPr/>
              <w:t>617 354 0068</w:t>
            </w:r>
          </w:p>
        </w:tc>
      </w:tr>
      <w:tr>
        <w:trPr/>
        <w:tc>
          <w:tcPr>
            <w:tcW w:w="6065" w:type="dxa"/>
            <w:tcBorders/>
            <w:vAlign w:val="center"/>
          </w:tcPr>
          <w:p>
            <w:pPr>
              <w:pStyle w:val="TableContents"/>
              <w:bidi w:val="0"/>
              <w:spacing w:before="0" w:after="283"/>
              <w:jc w:val="left"/>
              <w:rPr/>
            </w:pPr>
            <w:r>
              <w:rPr/>
              <w:t>Name of Person for Whose Account the Securities are To Be Sold</w:t>
            </w:r>
          </w:p>
        </w:tc>
        <w:tc>
          <w:tcPr>
            <w:tcW w:w="4140" w:type="dxa"/>
            <w:tcBorders/>
            <w:vAlign w:val="center"/>
          </w:tcPr>
          <w:p>
            <w:pPr>
              <w:pStyle w:val="TableContents"/>
              <w:bidi w:val="0"/>
              <w:spacing w:before="0" w:after="0"/>
              <w:jc w:val="left"/>
              <w:rPr/>
            </w:pPr>
            <w:r>
              <w:rPr/>
              <w:t>Elshareef Ismail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5" w:type="dxa"/>
            <w:tcBorders/>
            <w:vAlign w:val="center"/>
          </w:tcPr>
          <w:p>
            <w:pPr>
              <w:pStyle w:val="TableContents"/>
              <w:bidi w:val="0"/>
              <w:spacing w:before="0" w:after="283"/>
              <w:jc w:val="left"/>
              <w:rPr/>
            </w:pPr>
            <w:r>
              <w:rPr/>
              <w:t>Relationship to Issuer</w:t>
            </w:r>
          </w:p>
        </w:tc>
        <w:tc>
          <w:tcPr>
            <w:tcW w:w="41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2673</w:t>
            </w:r>
          </w:p>
        </w:tc>
        <w:tc>
          <w:tcPr>
            <w:tcW w:w="1377" w:type="dxa"/>
            <w:tcBorders/>
            <w:vAlign w:val="center"/>
          </w:tcPr>
          <w:p>
            <w:pPr>
              <w:pStyle w:val="TableContents"/>
              <w:bidi w:val="0"/>
              <w:spacing w:before="0" w:after="283"/>
              <w:jc w:val="left"/>
              <w:rPr/>
            </w:pPr>
            <w:r>
              <w:rPr/>
              <w:t>79174.26</w:t>
            </w:r>
          </w:p>
        </w:tc>
        <w:tc>
          <w:tcPr>
            <w:tcW w:w="1552" w:type="dxa"/>
            <w:tcBorders/>
            <w:vAlign w:val="center"/>
          </w:tcPr>
          <w:p>
            <w:pPr>
              <w:pStyle w:val="TableContents"/>
              <w:bidi w:val="0"/>
              <w:spacing w:before="0" w:after="283"/>
              <w:jc w:val="left"/>
              <w:rPr/>
            </w:pPr>
            <w:r>
              <w:rPr/>
              <w:t>75309865</w:t>
            </w:r>
          </w:p>
        </w:tc>
        <w:tc>
          <w:tcPr>
            <w:tcW w:w="1567" w:type="dxa"/>
            <w:tcBorders/>
            <w:vAlign w:val="center"/>
          </w:tcPr>
          <w:p>
            <w:pPr>
              <w:pStyle w:val="TableContents"/>
              <w:bidi w:val="0"/>
              <w:spacing w:before="0" w:after="283"/>
              <w:jc w:val="left"/>
              <w:rPr/>
            </w:pPr>
            <w:r>
              <w:rPr/>
              <w:t>10/02/2026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10/01/2026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2673</w:t>
            </w:r>
          </w:p>
        </w:tc>
        <w:tc>
          <w:tcPr>
            <w:tcW w:w="1070" w:type="dxa"/>
            <w:tcBorders/>
            <w:vAlign w:val="center"/>
          </w:tcPr>
          <w:p>
            <w:pPr>
              <w:pStyle w:val="TableContents"/>
              <w:bidi w:val="0"/>
              <w:spacing w:before="0" w:after="283"/>
              <w:jc w:val="left"/>
              <w:rPr/>
            </w:pPr>
            <w:r>
              <w:rPr/>
              <w:t>10/01/2026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Ismail A. El Shareef</w:t>
              <w:br/>
              <w:t>1001 Boylston Street</w:t>
              <w:br/>
              <w:t>16th Floor</w:t>
              <w:br/>
              <w:t>Boston   MA   02115</w:t>
            </w:r>
          </w:p>
        </w:tc>
        <w:tc>
          <w:tcPr>
            <w:tcW w:w="2989"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08/14/2026</w:t>
            </w:r>
          </w:p>
        </w:tc>
        <w:tc>
          <w:tcPr>
            <w:tcW w:w="1574" w:type="dxa"/>
            <w:tcBorders/>
            <w:vAlign w:val="center"/>
          </w:tcPr>
          <w:p>
            <w:pPr>
              <w:pStyle w:val="TableContents"/>
              <w:bidi w:val="0"/>
              <w:spacing w:before="0" w:after="283"/>
              <w:jc w:val="left"/>
              <w:rPr/>
            </w:pPr>
            <w:r>
              <w:rPr/>
              <w:t>8957</w:t>
            </w:r>
          </w:p>
        </w:tc>
        <w:tc>
          <w:tcPr>
            <w:tcW w:w="1774" w:type="dxa"/>
            <w:tcBorders/>
            <w:vAlign w:val="center"/>
          </w:tcPr>
          <w:p>
            <w:pPr>
              <w:pStyle w:val="TableContents"/>
              <w:bidi w:val="0"/>
              <w:spacing w:before="0" w:after="283"/>
              <w:jc w:val="left"/>
              <w:rPr/>
            </w:pPr>
            <w:r>
              <w:rPr/>
              <w:t>340366.00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2"/>
        <w:gridCol w:w="6363"/>
      </w:tblGrid>
      <w:tr>
        <w:trPr/>
        <w:tc>
          <w:tcPr>
            <w:tcW w:w="3842" w:type="dxa"/>
            <w:tcBorders/>
            <w:vAlign w:val="center"/>
          </w:tcPr>
          <w:p>
            <w:pPr>
              <w:pStyle w:val="TableContents"/>
              <w:bidi w:val="0"/>
              <w:spacing w:before="0" w:after="283"/>
              <w:jc w:val="left"/>
              <w:rPr/>
            </w:pPr>
            <w:r>
              <w:rPr/>
              <w:t>Remarks</w:t>
            </w:r>
          </w:p>
        </w:tc>
        <w:tc>
          <w:tcPr>
            <w:tcW w:w="6363" w:type="dxa"/>
            <w:tcBorders/>
            <w:vAlign w:val="center"/>
          </w:tcPr>
          <w:p>
            <w:pPr>
              <w:pStyle w:val="TableContents"/>
              <w:bidi w:val="0"/>
              <w:spacing w:before="0" w:after="283"/>
              <w:jc w:val="left"/>
              <w:rPr>
                <w:sz w:val="4"/>
                <w:szCs w:val="4"/>
              </w:rPr>
            </w:pPr>
            <w:r>
              <w:rPr>
                <w:sz w:val="4"/>
                <w:szCs w:val="4"/>
              </w:rPr>
            </w:r>
          </w:p>
        </w:tc>
      </w:tr>
      <w:tr>
        <w:trPr/>
        <w:tc>
          <w:tcPr>
            <w:tcW w:w="3842" w:type="dxa"/>
            <w:tcBorders/>
            <w:vAlign w:val="center"/>
          </w:tcPr>
          <w:p>
            <w:pPr>
              <w:pStyle w:val="TableContents"/>
              <w:bidi w:val="0"/>
              <w:spacing w:before="0" w:after="283"/>
              <w:jc w:val="left"/>
              <w:rPr/>
            </w:pPr>
            <w:r>
              <w:rPr/>
              <w:t>Date of Notice</w:t>
            </w:r>
          </w:p>
        </w:tc>
        <w:tc>
          <w:tcPr>
            <w:tcW w:w="6363" w:type="dxa"/>
            <w:tcBorders/>
            <w:vAlign w:val="center"/>
          </w:tcPr>
          <w:p>
            <w:pPr>
              <w:pStyle w:val="TableContents"/>
              <w:bidi w:val="0"/>
              <w:spacing w:before="0" w:after="0"/>
              <w:jc w:val="left"/>
              <w:rPr/>
            </w:pPr>
            <w:r>
              <w:rPr/>
              <w:t>10/02/2026</w:t>
            </w:r>
          </w:p>
        </w:tc>
      </w:tr>
      <w:tr>
        <w:trPr/>
        <w:tc>
          <w:tcPr>
            <w:tcW w:w="3842" w:type="dxa"/>
            <w:tcBorders/>
            <w:vAlign w:val="center"/>
          </w:tcPr>
          <w:p>
            <w:pPr>
              <w:pStyle w:val="TableContents"/>
              <w:bidi w:val="0"/>
              <w:spacing w:before="0" w:after="283"/>
              <w:jc w:val="left"/>
              <w:rPr/>
            </w:pPr>
            <w:r>
              <w:rPr/>
              <w:t>Date of Plan Adoption or Giving of Instruction, If Relying on Rule 10b5-1</w:t>
            </w:r>
          </w:p>
        </w:tc>
        <w:tc>
          <w:tcPr>
            <w:tcW w:w="6363"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2" w:type="dxa"/>
            <w:tcBorders/>
            <w:vAlign w:val="center"/>
          </w:tcPr>
          <w:p>
            <w:pPr>
              <w:pStyle w:val="TableContents"/>
              <w:bidi w:val="0"/>
              <w:spacing w:before="0" w:after="283"/>
              <w:jc w:val="left"/>
              <w:rPr/>
            </w:pPr>
            <w:r>
              <w:rPr/>
              <w:t>Signature</w:t>
            </w:r>
          </w:p>
        </w:tc>
        <w:tc>
          <w:tcPr>
            <w:tcW w:w="6363" w:type="dxa"/>
            <w:tcBorders/>
            <w:vAlign w:val="center"/>
          </w:tcPr>
          <w:p>
            <w:pPr>
              <w:pStyle w:val="TableContents"/>
              <w:bidi w:val="0"/>
              <w:spacing w:before="0" w:after="0"/>
              <w:jc w:val="left"/>
              <w:rPr/>
            </w:pPr>
            <w:r>
              <w:rPr/>
              <w:t>/s/ Gary Redman, as a duly authorized representative of Fidelity Brokerage Services LLC, as attorney-in-fact for Ismail A. El Shareef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3217</Characters>
  <CharactersWithSpaces>3792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