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Steinert Langley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CANAL PARK,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CarGurus,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CARG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02141</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01/03/2023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5,263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237,551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 upon vesting of restricted stock units.</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Langley Steinert Irrevocable Family Trust dated June 21, 2004, of which the Reporting Person's children are the beneficiaries. The Reporting Person may be deemed to have indirect ownership over such shares, but expressly disclaims beneficial ownership of such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Javier Zamora, as attorney- </w:t>
      </w:r>
      <w:r>
        <w:rPr>
          <w:rFonts w:ascii="Times New Roman" w:cs="Times New Roman" w:eastAsia="Times New Roman" w:hAnsi="Times New Roman"/>
          <w:sz w:val="34"/>
          <w:szCs w:val="34"/>
          <w:color w:val="0000FF"/>
          <w:vertAlign w:val="subscript"/>
        </w:rPr>
        <w:t>01/05/2023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299"/>
        <w:spacing w:after="0" w:line="269" w:lineRule="auto"/>
        <w:rPr>
          <w:sz w:val="20"/>
          <w:szCs w:val="20"/>
          <w:color w:val="auto"/>
        </w:rPr>
      </w:pPr>
      <w:r>
        <w:rPr>
          <w:rFonts w:ascii="Courier New" w:cs="Courier New" w:eastAsia="Courier New" w:hAnsi="Courier New"/>
          <w:sz w:val="17"/>
          <w:szCs w:val="17"/>
          <w:color w:val="auto"/>
        </w:rPr>
        <w:t>The undersigned hereby constitutes and appoints each of Jason Trevisan and Javier Zamora, signing singly, in any, and all capacities, and with</w:t>
      </w:r>
    </w:p>
    <w:p>
      <w:pPr>
        <w:ind w:right="1879"/>
        <w:spacing w:after="0" w:line="333" w:lineRule="auto"/>
        <w:rPr>
          <w:sz w:val="20"/>
          <w:szCs w:val="20"/>
          <w:color w:val="auto"/>
        </w:rPr>
      </w:pPr>
      <w:r>
        <w:rPr>
          <w:rFonts w:ascii="Courier New" w:cs="Courier New" w:eastAsia="Courier New" w:hAnsi="Courier New"/>
          <w:sz w:val="17"/>
          <w:szCs w:val="17"/>
          <w:color w:val="auto"/>
        </w:rPr>
        <w:t>full power of substitution, the undersigned's true and lawful attorney-in-fact 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in the undersigned's</w:t>
      </w:r>
    </w:p>
    <w:p>
      <w:pPr>
        <w:spacing w:after="0" w:line="39" w:lineRule="exact"/>
        <w:rPr>
          <w:sz w:val="20"/>
          <w:szCs w:val="20"/>
          <w:color w:val="auto"/>
        </w:rPr>
      </w:pPr>
    </w:p>
    <w:p>
      <w:pPr>
        <w:ind w:right="1679"/>
        <w:spacing w:after="0" w:line="249" w:lineRule="auto"/>
        <w:rPr>
          <w:sz w:val="20"/>
          <w:szCs w:val="20"/>
          <w:color w:val="auto"/>
        </w:rPr>
      </w:pPr>
      <w:r>
        <w:rPr>
          <w:rFonts w:ascii="Courier New" w:cs="Courier New" w:eastAsia="Courier New" w:hAnsi="Courier New"/>
          <w:sz w:val="17"/>
          <w:szCs w:val="17"/>
          <w:color w:val="auto"/>
        </w:rPr>
        <w:t>capacity as an officer, director or holder of 10% or more of a registered class of securities of CarGurus, Inc. (the "Company"), from time to time the following U.S. Securities and Exchange Commission ("SEC") forms: (i) Form ID, including any attached documents, to effect the assignment of codes to the undersigned to be used in the transmission of information to the SEC using the EDGAR System;</w:t>
      </w:r>
    </w:p>
    <w:p>
      <w:pPr>
        <w:ind w:right="1779" w:firstLine="7"/>
        <w:spacing w:after="0" w:line="249" w:lineRule="auto"/>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(the "Exchange Act"), and the rules thereunder, including any attached documents; and</w:t>
      </w:r>
    </w:p>
    <w:p>
      <w:pPr>
        <w:ind w:right="2299" w:firstLine="7"/>
        <w:spacing w:after="0" w:line="291"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of each thereof, in accordance with the Securities Exchange Act of 1934, as amended, and the rules thereunder, including any attached documents;</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do and perform any and all acts for and on behalf of the undersigned</w:t>
      </w:r>
    </w:p>
    <w:p>
      <w:pPr>
        <w:spacing w:after="0" w:line="39" w:lineRule="exact"/>
        <w:rPr>
          <w:sz w:val="20"/>
          <w:szCs w:val="20"/>
          <w:color w:val="auto"/>
        </w:rPr>
      </w:pPr>
    </w:p>
    <w:p>
      <w:pPr>
        <w:ind w:right="1779"/>
        <w:spacing w:after="0" w:line="291" w:lineRule="auto"/>
        <w:rPr>
          <w:sz w:val="20"/>
          <w:szCs w:val="20"/>
          <w:color w:val="auto"/>
        </w:rPr>
      </w:pPr>
      <w:r>
        <w:rPr>
          <w:rFonts w:ascii="Courier New" w:cs="Courier New" w:eastAsia="Courier New" w:hAnsi="Courier New"/>
          <w:sz w:val="17"/>
          <w:szCs w:val="17"/>
          <w:color w:val="auto"/>
        </w:rPr>
        <w:t>which may be necessary or desirable to complete and execute any such Form 3, 4 or 5 or any amendment(s) thereto, and timely file such form(s) with the SEC and any securities exchange, national association or similar authority; and</w:t>
      </w:r>
    </w:p>
    <w:p>
      <w:pPr>
        <w:spacing w:after="0" w:line="67" w:lineRule="exact"/>
        <w:rPr>
          <w:sz w:val="20"/>
          <w:szCs w:val="20"/>
          <w:color w:val="auto"/>
        </w:rPr>
      </w:pPr>
    </w:p>
    <w:p>
      <w:pPr>
        <w:ind w:right="1779" w:firstLine="7"/>
        <w:spacing w:after="0" w:line="259" w:lineRule="auto"/>
        <w:tabs>
          <w:tab w:leader="none" w:pos="41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jc w:val="both"/>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67"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67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such forms with respect to the undersigned's holdings of and transactions in securities issued by the Company, (b) revocation by the undersigned in a signed writing delivered to the foregoing attorneys-in-fact or (c) with respect to each attorney-in-fact, such time as such attorney shall no longer be employed by the Company.</w:t>
      </w:r>
    </w:p>
    <w:p>
      <w:pPr>
        <w:spacing w:after="0" w:line="85"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6,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Langley Steinert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Langley Steinert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Roman"/>
      <w:start w:val="5"/>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9138" TargetMode="External"/><Relationship Id="rId13" Type="http://schemas.openxmlformats.org/officeDocument/2006/relationships/hyperlink" Target="http://www.sec.gov/cgi-bin/browse-edgar?action=getcompany&amp;CIK=0001494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2023-01-05T15:48:18Z</dcterms:created>
  <dcterms:modified xsi:type="dcterms:W3CDTF">2023-01-05T15:48:18Z</dcterms:modified>
</cp:coreProperties>
</file>