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HICKOK LORI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54,254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upon settlement of restricted stock units ("RSUs") granted to the Reporting Person. Each RSU represents a contingent right to receive one share of the Issuer's Class A common stock. Subject to the Reporting Person's continuous service as a director of the Issuer, 100% of the RSUs will vest on the first anniversary of the grant date. Such vesting may be accelerated in connection with a Change in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944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3457</Characters>
  <CharactersWithSpaces>4039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