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-611505</wp:posOffset>
            </wp:positionV>
            <wp:extent cx="57150" cy="62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723900</wp:posOffset>
            </wp:positionV>
            <wp:extent cx="6997065" cy="5189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5189855"/>
                    </a:xfrm>
                    <a:prstGeom prst="rect">
                      <a:avLst/>
                    </a:prstGeom>
                    <a:noFill/>
                  </pic:spPr>
                </pic:pic>
              </a:graphicData>
            </a:graphic>
          </wp:anchor>
        </w:drawing>
      </w:r>
    </w:p>
    <w:p>
      <w:pPr>
        <w:spacing w:after="0" w:line="1216"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Steinert Langley</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1001 BOYLSTON STREET</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CarGurus,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CARG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06/09/2026</w:t>
      </w:r>
    </w:p>
    <w:p>
      <w:pPr>
        <w:spacing w:after="0" w:line="20" w:lineRule="exact"/>
        <w:rPr>
          <w:sz w:val="24"/>
          <w:szCs w:val="24"/>
          <w:color w:val="auto"/>
        </w:rPr>
      </w:pPr>
      <w:r>
        <w:rPr>
          <w:sz w:val="24"/>
          <w:szCs w:val="24"/>
          <w:color w:val="auto"/>
        </w:rPr>
        <w:br w:type="column"/>
      </w:r>
    </w:p>
    <w:p>
      <w:pPr>
        <w:ind w:left="9" w:right="700" w:hanging="9"/>
        <w:spacing w:after="0" w:line="248"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9"/>
        <w:spacing w:after="0"/>
        <w:tabs>
          <w:tab w:leader="none" w:pos="1730"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001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01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9"/>
        <w:spacing w:after="0"/>
        <w:tabs>
          <w:tab w:leader="none" w:pos="208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1049"/>
        <w:spacing w:after="0"/>
        <w:rPr>
          <w:sz w:val="20"/>
          <w:szCs w:val="20"/>
          <w:color w:val="auto"/>
        </w:rPr>
      </w:pPr>
      <w:r>
        <w:rPr>
          <w:rFonts w:ascii="Times New Roman" w:cs="Times New Roman" w:eastAsia="Times New Roman" w:hAnsi="Times New Roman"/>
          <w:sz w:val="16"/>
          <w:szCs w:val="16"/>
          <w:color w:val="0000FF"/>
        </w:rPr>
        <w:t>Executive Chair</w:t>
      </w:r>
    </w:p>
    <w:p>
      <w:pPr>
        <w:spacing w:after="0" w:line="408" w:lineRule="exact"/>
        <w:rPr>
          <w:sz w:val="24"/>
          <w:szCs w:val="24"/>
          <w:color w:val="auto"/>
        </w:rPr>
      </w:pPr>
    </w:p>
    <w:p>
      <w:pPr>
        <w:sectPr>
          <w:pgSz w:w="11900" w:h="16838" w:orient="portrait"/>
          <w:cols w:equalWidth="0" w:num="3">
            <w:col w:w="3180" w:space="720"/>
            <w:col w:w="3111" w:space="720"/>
            <w:col w:w="3349"/>
          </w:cols>
          <w:pgMar w:left="460" w:top="215" w:right="359" w:bottom="1440" w:gutter="0" w:footer="0" w:header="0"/>
          <w:type w:val="continuous"/>
        </w:sectPr>
      </w:pPr>
    </w:p>
    <w:p>
      <w:pPr>
        <w:spacing w:after="0" w:line="20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02115</w:t>
            </w:r>
          </w:p>
        </w:tc>
      </w:tr>
      <w:tr>
        <w:trPr>
          <w:trHeight w:val="144"/>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4" w:lineRule="exact"/>
        <w:rPr>
          <w:sz w:val="24"/>
          <w:szCs w:val="24"/>
          <w:color w:val="auto"/>
        </w:rPr>
      </w:pPr>
    </w:p>
    <w:p>
      <w:pPr>
        <w:sectPr>
          <w:pgSz w:w="11900" w:h="16838" w:orient="portrait"/>
          <w:cols w:equalWidth="0" w:num="2">
            <w:col w:w="3760" w:space="14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jc w:val="center"/>
              <w:ind w:right="4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bottom w:val="single" w:sz="8" w:color="2C2C2C"/>
            </w:tcBorders>
            <w:gridSpan w:val="2"/>
          </w:tcPr>
          <w:p>
            <w:pPr>
              <w:jc w:val="center"/>
              <w:ind w:left="674"/>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377,639</w:t>
            </w:r>
            <w:r>
              <w:rPr>
                <w:rFonts w:ascii="Times New Roman" w:cs="Times New Roman" w:eastAsia="Times New Roman" w:hAnsi="Times New Roman"/>
                <w:sz w:val="20"/>
                <w:szCs w:val="20"/>
                <w:color w:val="008000"/>
                <w:vertAlign w:val="superscript"/>
              </w:rPr>
              <w:t>(1)</w:t>
            </w:r>
          </w:p>
        </w:tc>
        <w:tc>
          <w:tcPr>
            <w:tcW w:w="5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2"/>
              <w:spacing w:after="0"/>
              <w:rPr>
                <w:sz w:val="20"/>
                <w:szCs w:val="20"/>
                <w:color w:val="auto"/>
              </w:rPr>
            </w:pPr>
            <w:r>
              <w:rPr>
                <w:rFonts w:ascii="Times New Roman" w:cs="Times New Roman" w:eastAsia="Times New Roman" w:hAnsi="Times New Roman"/>
                <w:sz w:val="16"/>
                <w:szCs w:val="16"/>
                <w:color w:val="0000FF"/>
              </w:rPr>
              <w:t>909,790</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vMerge w:val="restart"/>
          </w:tcPr>
          <w:p>
            <w:pPr>
              <w:jc w:val="center"/>
              <w:ind w:left="674"/>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20"/>
                <w:szCs w:val="20"/>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74,998</w:t>
            </w:r>
            <w:r>
              <w:rPr>
                <w:rFonts w:ascii="Times New Roman" w:cs="Times New Roman" w:eastAsia="Times New Roman" w:hAnsi="Times New Roman"/>
                <w:sz w:val="20"/>
                <w:szCs w:val="20"/>
                <w:color w:val="008000"/>
                <w:vertAlign w:val="superscript"/>
              </w:rPr>
              <w:t>(1)</w:t>
            </w:r>
          </w:p>
        </w:tc>
        <w:tc>
          <w:tcPr>
            <w:tcW w:w="60" w:type="dxa"/>
            <w:vAlign w:val="bottom"/>
          </w:tcPr>
          <w:p>
            <w:pPr>
              <w:spacing w:after="0"/>
              <w:rPr>
                <w:sz w:val="20"/>
                <w:szCs w:val="20"/>
                <w:color w:val="auto"/>
              </w:rPr>
            </w:pPr>
          </w:p>
        </w:tc>
        <w:tc>
          <w:tcPr>
            <w:tcW w:w="56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vMerge w:val="restart"/>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20" w:type="dxa"/>
            <w:vAlign w:val="bottom"/>
          </w:tcPr>
          <w:p>
            <w:pPr>
              <w:spacing w:after="0"/>
              <w:rPr>
                <w:sz w:val="20"/>
                <w:szCs w:val="20"/>
                <w:color w:val="auto"/>
              </w:rPr>
            </w:pPr>
          </w:p>
        </w:tc>
        <w:tc>
          <w:tcPr>
            <w:tcW w:w="1180" w:type="dxa"/>
            <w:vAlign w:val="bottom"/>
            <w:gridSpan w:val="2"/>
            <w:vMerge w:val="restart"/>
          </w:tcPr>
          <w:p>
            <w:pPr>
              <w:jc w:val="right"/>
              <w:ind w:right="322"/>
              <w:spacing w:after="0"/>
              <w:rPr>
                <w:sz w:val="20"/>
                <w:szCs w:val="20"/>
                <w:color w:val="auto"/>
              </w:rPr>
            </w:pPr>
            <w:r>
              <w:rPr>
                <w:rFonts w:ascii="Times New Roman" w:cs="Times New Roman" w:eastAsia="Times New Roman" w:hAnsi="Times New Roman"/>
                <w:sz w:val="16"/>
                <w:szCs w:val="16"/>
                <w:color w:val="0000FF"/>
              </w:rPr>
              <w:t>75,000</w:t>
            </w:r>
          </w:p>
        </w:tc>
        <w:tc>
          <w:tcPr>
            <w:tcW w:w="340" w:type="dxa"/>
            <w:vAlign w:val="bottom"/>
          </w:tcPr>
          <w:p>
            <w:pPr>
              <w:spacing w:after="0"/>
              <w:rPr>
                <w:sz w:val="20"/>
                <w:szCs w:val="20"/>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96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60" w:type="dxa"/>
            <w:vAlign w:val="bottom"/>
            <w:gridSpan w:val="10"/>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2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19"/>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vMerge w:val="restart"/>
          </w:tcPr>
          <w:p>
            <w:pPr>
              <w:jc w:val="center"/>
              <w:ind w:right="42"/>
              <w:spacing w:after="0"/>
              <w:rPr>
                <w:sz w:val="20"/>
                <w:szCs w:val="20"/>
                <w:color w:val="auto"/>
              </w:rPr>
            </w:pPr>
            <w:r>
              <w:rPr>
                <w:rFonts w:ascii="Times New Roman" w:cs="Times New Roman" w:eastAsia="Times New Roman" w:hAnsi="Times New Roman"/>
                <w:sz w:val="13"/>
                <w:szCs w:val="13"/>
                <w:color w:val="0000FF"/>
              </w:rPr>
              <w:t>377,639</w:t>
            </w:r>
            <w:r>
              <w:rPr>
                <w:rFonts w:ascii="Times New Roman" w:cs="Times New Roman" w:eastAsia="Times New Roman" w:hAnsi="Times New Roman"/>
                <w:sz w:val="20"/>
                <w:szCs w:val="20"/>
                <w:color w:val="008000"/>
                <w:vertAlign w:val="superscript"/>
              </w:rPr>
              <w:t>(1)</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720" w:type="dxa"/>
            <w:vAlign w:val="bottom"/>
            <w:vMerge w:val="restart"/>
          </w:tcPr>
          <w:p>
            <w:pPr>
              <w:jc w:val="center"/>
              <w:ind w:right="19"/>
              <w:spacing w:after="0"/>
              <w:rPr>
                <w:sz w:val="20"/>
                <w:szCs w:val="20"/>
                <w:color w:val="auto"/>
              </w:rPr>
            </w:pPr>
            <w:r>
              <w:rPr>
                <w:rFonts w:ascii="Times New Roman" w:cs="Times New Roman" w:eastAsia="Times New Roman" w:hAnsi="Times New Roman"/>
                <w:sz w:val="10"/>
                <w:szCs w:val="10"/>
                <w:color w:val="008000"/>
              </w:rPr>
              <w:t>(3)</w:t>
            </w:r>
          </w:p>
        </w:tc>
        <w:tc>
          <w:tcPr>
            <w:tcW w:w="60" w:type="dxa"/>
            <w:vAlign w:val="bottom"/>
          </w:tcPr>
          <w:p>
            <w:pPr>
              <w:spacing w:after="0"/>
              <w:rPr>
                <w:sz w:val="15"/>
                <w:szCs w:val="15"/>
                <w:color w:val="auto"/>
              </w:rPr>
            </w:pPr>
          </w:p>
        </w:tc>
        <w:tc>
          <w:tcPr>
            <w:tcW w:w="56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377,639</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06/09/2026</w:t>
            </w:r>
          </w:p>
        </w:tc>
        <w:tc>
          <w:tcPr>
            <w:tcW w:w="1060" w:type="dxa"/>
            <w:vAlign w:val="bottom"/>
          </w:tcPr>
          <w:p>
            <w:pPr>
              <w:spacing w:after="0"/>
              <w:rPr>
                <w:sz w:val="12"/>
                <w:szCs w:val="12"/>
                <w:color w:val="auto"/>
              </w:rPr>
            </w:pPr>
          </w:p>
        </w:tc>
        <w:tc>
          <w:tcPr>
            <w:tcW w:w="740" w:type="dxa"/>
            <w:vAlign w:val="bottom"/>
          </w:tcPr>
          <w:p>
            <w:pPr>
              <w:jc w:val="center"/>
              <w:ind w:right="262"/>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10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jc w:val="right"/>
              <w:ind w:right="63"/>
              <w:spacing w:after="0" w:line="139" w:lineRule="exact"/>
              <w:rPr>
                <w:sz w:val="20"/>
                <w:szCs w:val="20"/>
                <w:color w:val="auto"/>
              </w:rPr>
            </w:pPr>
            <w:r>
              <w:rPr>
                <w:rFonts w:ascii="Times New Roman" w:cs="Times New Roman" w:eastAsia="Times New Roman" w:hAnsi="Times New Roman"/>
                <w:sz w:val="13"/>
                <w:szCs w:val="13"/>
                <w:color w:val="0000FF"/>
              </w:rPr>
              <w:t>12,144,424</w:t>
            </w:r>
          </w:p>
        </w:tc>
        <w:tc>
          <w:tcPr>
            <w:tcW w:w="540" w:type="dxa"/>
            <w:vAlign w:val="bottom"/>
          </w:tcPr>
          <w:p>
            <w:pPr>
              <w:ind w:left="36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vMerge w:val="restart"/>
          </w:tcPr>
          <w:p>
            <w:pPr>
              <w:jc w:val="center"/>
              <w:ind w:right="62"/>
              <w:spacing w:after="0"/>
              <w:rPr>
                <w:sz w:val="20"/>
                <w:szCs w:val="20"/>
                <w:color w:val="auto"/>
              </w:rPr>
            </w:pPr>
            <w:r>
              <w:rPr>
                <w:rFonts w:ascii="Times New Roman" w:cs="Times New Roman" w:eastAsia="Times New Roman" w:hAnsi="Times New Roman"/>
                <w:sz w:val="13"/>
                <w:szCs w:val="13"/>
                <w:color w:val="0000FF"/>
              </w:rPr>
              <w:t>74,998</w:t>
            </w:r>
            <w:r>
              <w:rPr>
                <w:rFonts w:ascii="Times New Roman" w:cs="Times New Roman" w:eastAsia="Times New Roman" w:hAnsi="Times New Roman"/>
                <w:sz w:val="20"/>
                <w:szCs w:val="20"/>
                <w:color w:val="008000"/>
                <w:vertAlign w:val="superscript"/>
              </w:rPr>
              <w:t>(1)</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720" w:type="dxa"/>
            <w:vAlign w:val="bottom"/>
            <w:vMerge w:val="restart"/>
          </w:tcPr>
          <w:p>
            <w:pPr>
              <w:jc w:val="center"/>
              <w:ind w:right="19"/>
              <w:spacing w:after="0"/>
              <w:rPr>
                <w:sz w:val="20"/>
                <w:szCs w:val="20"/>
                <w:color w:val="auto"/>
              </w:rPr>
            </w:pPr>
            <w:r>
              <w:rPr>
                <w:rFonts w:ascii="Times New Roman" w:cs="Times New Roman" w:eastAsia="Times New Roman" w:hAnsi="Times New Roman"/>
                <w:sz w:val="10"/>
                <w:szCs w:val="10"/>
                <w:color w:val="008000"/>
              </w:rPr>
              <w:t>(3)</w:t>
            </w:r>
          </w:p>
        </w:tc>
        <w:tc>
          <w:tcPr>
            <w:tcW w:w="60" w:type="dxa"/>
            <w:vAlign w:val="bottom"/>
          </w:tcPr>
          <w:p>
            <w:pPr>
              <w:spacing w:after="0"/>
              <w:rPr>
                <w:sz w:val="15"/>
                <w:szCs w:val="15"/>
                <w:color w:val="auto"/>
              </w:rPr>
            </w:pPr>
          </w:p>
        </w:tc>
        <w:tc>
          <w:tcPr>
            <w:tcW w:w="56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color w:val="0000FF"/>
              </w:rPr>
              <w:t>74,998</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3"/>
                <w:szCs w:val="3"/>
                <w:color w:val="auto"/>
              </w:rPr>
            </w:pPr>
          </w:p>
        </w:tc>
        <w:tc>
          <w:tcPr>
            <w:tcW w:w="1060" w:type="dxa"/>
            <w:vAlign w:val="bottom"/>
            <w:vMerge w:val="restart"/>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06/09/2026</w:t>
            </w:r>
          </w:p>
        </w:tc>
        <w:tc>
          <w:tcPr>
            <w:tcW w:w="1060" w:type="dxa"/>
            <w:vAlign w:val="bottom"/>
          </w:tcPr>
          <w:p>
            <w:pPr>
              <w:spacing w:after="0"/>
              <w:rPr>
                <w:sz w:val="3"/>
                <w:szCs w:val="3"/>
                <w:color w:val="auto"/>
              </w:rPr>
            </w:pPr>
          </w:p>
        </w:tc>
        <w:tc>
          <w:tcPr>
            <w:tcW w:w="740" w:type="dxa"/>
            <w:vAlign w:val="bottom"/>
            <w:vMerge w:val="restart"/>
          </w:tcPr>
          <w:p>
            <w:pPr>
              <w:jc w:val="center"/>
              <w:ind w:right="262"/>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106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20" w:type="dxa"/>
            <w:vAlign w:val="bottom"/>
            <w:gridSpan w:val="2"/>
            <w:vMerge w:val="restart"/>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restart"/>
          </w:tcPr>
          <w:p>
            <w:pPr>
              <w:jc w:val="right"/>
              <w:ind w:right="83"/>
              <w:spacing w:after="0" w:line="139" w:lineRule="exact"/>
              <w:rPr>
                <w:sz w:val="20"/>
                <w:szCs w:val="20"/>
                <w:color w:val="auto"/>
              </w:rPr>
            </w:pPr>
            <w:r>
              <w:rPr>
                <w:rFonts w:ascii="Times New Roman" w:cs="Times New Roman" w:eastAsia="Times New Roman" w:hAnsi="Times New Roman"/>
                <w:sz w:val="13"/>
                <w:szCs w:val="13"/>
                <w:color w:val="0000FF"/>
              </w:rPr>
              <w:t>1,618,021</w:t>
            </w:r>
          </w:p>
        </w:tc>
        <w:tc>
          <w:tcPr>
            <w:tcW w:w="540" w:type="dxa"/>
            <w:vAlign w:val="bottom"/>
            <w:vMerge w:val="restart"/>
          </w:tcPr>
          <w:p>
            <w:pPr>
              <w:ind w:left="40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right w:val="single" w:sz="8" w:color="2C2C2C"/>
            </w:tcBorders>
            <w:gridSpan w:val="3"/>
          </w:tcPr>
          <w:p>
            <w:pPr>
              <w:ind w:left="520"/>
              <w:spacing w:after="0" w:line="93" w:lineRule="exact"/>
              <w:rPr>
                <w:sz w:val="20"/>
                <w:szCs w:val="20"/>
                <w:color w:val="auto"/>
              </w:rPr>
            </w:pPr>
            <w:r>
              <w:rPr>
                <w:rFonts w:ascii="Times New Roman" w:cs="Times New Roman" w:eastAsia="Times New Roman" w:hAnsi="Times New Roman"/>
                <w:sz w:val="10"/>
                <w:szCs w:val="10"/>
                <w:color w:val="008000"/>
              </w:rPr>
              <w:t>(2)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vMerge w:val="restart"/>
          </w:tcPr>
          <w:p>
            <w:pPr>
              <w:jc w:val="center"/>
              <w:ind w:right="94"/>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line="126" w:lineRule="exact"/>
              <w:rPr>
                <w:sz w:val="20"/>
                <w:szCs w:val="20"/>
                <w:color w:val="auto"/>
              </w:rPr>
            </w:pPr>
            <w:r>
              <w:rPr>
                <w:rFonts w:ascii="Times New Roman" w:cs="Times New Roman" w:eastAsia="Times New Roman" w:hAnsi="Times New Roman"/>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-2066925</wp:posOffset>
            </wp:positionV>
            <wp:extent cx="28575" cy="2072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07200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conversion of Class B Common Stock into Class A Common Stock at the Reporting Person's election.</w:t>
      </w:r>
    </w:p>
    <w:p>
      <w:pPr>
        <w:spacing w:after="0" w:line="39" w:lineRule="exact"/>
        <w:rPr>
          <w:rFonts w:ascii="Times New Roman" w:cs="Times New Roman" w:eastAsia="Times New Roman" w:hAnsi="Times New Roman"/>
          <w:sz w:val="13"/>
          <w:szCs w:val="13"/>
          <w:color w:val="008000"/>
        </w:rPr>
      </w:pPr>
    </w:p>
    <w:p>
      <w:pPr>
        <w:ind w:left="40" w:right="18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The Langley Steinert Irrevocable Family Trust dated June 21, 2004, of which the Reporting Person's children are the beneficiaries. The Reporting Person may be deemed to have indirect ownership over such shares, but expressly disclaims beneficial ownership of such shares.</w:t>
      </w:r>
    </w:p>
    <w:p>
      <w:pPr>
        <w:spacing w:after="0" w:line="22" w:lineRule="exact"/>
        <w:rPr>
          <w:rFonts w:ascii="Times New Roman" w:cs="Times New Roman" w:eastAsia="Times New Roman" w:hAnsi="Times New Roman"/>
          <w:sz w:val="13"/>
          <w:szCs w:val="13"/>
          <w:color w:val="008000"/>
        </w:rPr>
      </w:pPr>
    </w:p>
    <w:p>
      <w:pPr>
        <w:ind w:left="40" w:right="160" w:hanging="2"/>
        <w:spacing w:after="0" w:line="230"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has no expiration date and is convertible into one share of Class A Common Stock at the option of the Reporting Person or automatically either upon the transfer of such share of Class B Common Stock, except for certain transfers described in the Issuer's amended and restated certificate of incorporation, or upon the date falling after the first to occur of the death of Langley Steinert, Langley Steinert's voluntary termination of all employment with the Issuer and service on the Issuer's board of directors or the sum of the number of shares of the Issuer's capital stock held by Langley Steinert and any Family Member or Permitted Entity of Langley Steinert (as such terms are defined in the Issuer's amended and restated certificate of incorporation), assuming the exercise and settlement in full of all outstanding options and convertible securities and calculated on an as-converted to Class A Common Stock basis, being less than 9,091,484 shares.</w:t>
      </w:r>
    </w:p>
    <w:p>
      <w:pPr>
        <w:ind w:left="6600"/>
        <w:spacing w:after="0" w:line="182" w:lineRule="auto"/>
        <w:rPr>
          <w:sz w:val="20"/>
          <w:szCs w:val="20"/>
          <w:color w:val="auto"/>
        </w:rPr>
      </w:pPr>
      <w:r>
        <w:rPr>
          <w:rFonts w:ascii="Times New Roman" w:cs="Times New Roman" w:eastAsia="Times New Roman" w:hAnsi="Times New Roman"/>
          <w:sz w:val="16"/>
          <w:szCs w:val="16"/>
          <w:color w:val="0000FF"/>
        </w:rPr>
        <w:t xml:space="preserve">/s/ Suzanne Murray, as attorney- </w:t>
      </w:r>
      <w:r>
        <w:rPr>
          <w:rFonts w:ascii="Times New Roman" w:cs="Times New Roman" w:eastAsia="Times New Roman" w:hAnsi="Times New Roman"/>
          <w:sz w:val="31"/>
          <w:szCs w:val="31"/>
          <w:color w:val="0000FF"/>
          <w:vertAlign w:val="subscript"/>
        </w:rPr>
        <w:t>06/10/2026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46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2711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114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-79375</wp:posOffset>
            </wp:positionV>
            <wp:extent cx="4737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19138" TargetMode="External"/><Relationship Id="rId14" Type="http://schemas.openxmlformats.org/officeDocument/2006/relationships/hyperlink" Target="http://www.sec.gov/cgi-bin/browse-edgar?action=getcompany&amp;CIK=00014942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2026-06-10T15:37:23Z</dcterms:created>
  <dcterms:modified xsi:type="dcterms:W3CDTF">2026-06-10T15:37:23Z</dcterms:modified>
</cp:coreProperties>
</file>