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Kaufer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40"/>
        <w:gridCol w:w="449"/>
        <w:gridCol w:w="612"/>
        <w:gridCol w:w="1445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7,339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331,278.105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issuable upon settlement of restricted stock units ("RSUs") granted to the Reporting Person. Each RSU represents a contingent right to receive one share of the Issuer's Class A common stock. Subject to the Reporting Person's continuous service as a director of the Issuer, 100% of the RSUs will vest on the first anniversary of the grant date. Such vesting may be accelerated in connection with a Change in Control (as defined in the Issuer's Omnibus Incentive Compensation Plan).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5772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3464</Characters>
  <CharactersWithSpaces>4045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