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Steinert Langley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80"/>
        <w:spacing w:after="0" w:line="336" w:lineRule="auto"/>
        <w:rPr>
          <w:sz w:val="20"/>
          <w:szCs w:val="20"/>
          <w:color w:val="auto"/>
        </w:rPr>
      </w:pPr>
      <w:r>
        <w:rPr>
          <w:rFonts w:ascii="Times New Roman" w:cs="Times New Roman" w:eastAsia="Times New Roman" w:hAnsi="Times New Roman"/>
          <w:sz w:val="17"/>
          <w:szCs w:val="17"/>
          <w:color w:val="0000FF"/>
        </w:rPr>
        <w:t>1001 BOYLSTON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CarGurus,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CARG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Executive Chair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03/02/2026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81,353</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544,466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2</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issuable upon settlement of restricted stock units ("RSUs") granted to the Reporting Person. Each RSU represents a contingent right to receive one share of the Issuer's Class A Common Stock. Subject to the Reporting Person's continuous service as an employee of the Issuer, 6.25% of the RSUs will vest on April 1, 2026 and 6.25% of the RSUs will vest on the first day of each three-month period thereafter until January 1, 2030. Such vesting may be accelerated in connection with a Change of Control (as defined in the Issuer's Omnibus Incentive Compensation Plan).</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Langley Steinert Irrevocable Family Trust dated June 21, 2004, of which the Reporting Person's children are the beneficiaries. The Reporting Person may be deemed to have indirect ownership over such shares, but expressly disclaims beneficial ownership of such shares.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Murray,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719138" TargetMode="External"/><Relationship Id="rId14" Type="http://schemas.openxmlformats.org/officeDocument/2006/relationships/hyperlink" Target="http://www.sec.gov/cgi-bin/browse-edgar?action=getcompany&amp;CIK=00014942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2026-03-04T16:13:24Z</dcterms:created>
  <dcterms:modified xsi:type="dcterms:W3CDTF">2026-03-04T16:13:24Z</dcterms:modified>
</cp:coreProperties>
</file>